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FD509" w14:textId="053C674F" w:rsidR="005E67EA" w:rsidRPr="005E67EA" w:rsidRDefault="005E67EA" w:rsidP="005E67EA">
      <w:pPr>
        <w:tabs>
          <w:tab w:val="center" w:pos="4536"/>
          <w:tab w:val="right" w:pos="8280"/>
          <w:tab w:val="right" w:pos="9639"/>
        </w:tabs>
        <w:ind w:right="2"/>
        <w:rPr>
          <w:rFonts w:ascii="Arial" w:hAnsi="Arial" w:cs="Arial"/>
          <w:b/>
          <w:bCs/>
          <w:sz w:val="28"/>
          <w:szCs w:val="28"/>
        </w:rPr>
      </w:pPr>
      <w:r w:rsidRPr="005E67EA">
        <w:rPr>
          <w:rFonts w:ascii="Arial" w:hAnsi="Arial" w:cs="Arial"/>
          <w:b/>
          <w:bCs/>
          <w:sz w:val="28"/>
          <w:szCs w:val="28"/>
        </w:rPr>
        <w:t xml:space="preserve">3GPP TSG RAN WG1 </w:t>
      </w:r>
      <w:r w:rsidR="001617AC">
        <w:rPr>
          <w:rFonts w:ascii="Arial" w:hAnsi="Arial" w:cs="Arial"/>
          <w:b/>
          <w:bCs/>
          <w:sz w:val="28"/>
          <w:szCs w:val="28"/>
        </w:rPr>
        <w:t>Ad-Hoc Meeting 1901</w:t>
      </w:r>
      <w:r w:rsidR="00136128">
        <w:rPr>
          <w:rFonts w:ascii="Arial" w:hAnsi="Arial" w:cs="Arial"/>
          <w:b/>
          <w:bCs/>
          <w:sz w:val="28"/>
          <w:szCs w:val="28"/>
        </w:rPr>
        <w:t xml:space="preserve">              </w:t>
      </w:r>
      <w:r w:rsidR="007A2DFD">
        <w:rPr>
          <w:rFonts w:ascii="Arial" w:hAnsi="Arial" w:cs="Arial"/>
          <w:b/>
          <w:bCs/>
          <w:sz w:val="28"/>
          <w:szCs w:val="28"/>
        </w:rPr>
        <w:tab/>
      </w:r>
      <w:r w:rsidR="007A2DFD">
        <w:rPr>
          <w:rFonts w:ascii="Arial" w:hAnsi="Arial" w:cs="Arial"/>
          <w:b/>
          <w:bCs/>
          <w:sz w:val="28"/>
          <w:szCs w:val="28"/>
        </w:rPr>
        <w:tab/>
      </w:r>
      <w:r w:rsidRPr="005E67EA">
        <w:rPr>
          <w:rFonts w:ascii="Arial" w:hAnsi="Arial" w:cs="Arial"/>
          <w:b/>
          <w:bCs/>
          <w:sz w:val="28"/>
          <w:szCs w:val="28"/>
        </w:rPr>
        <w:t>R1-1</w:t>
      </w:r>
      <w:r w:rsidR="001617AC">
        <w:rPr>
          <w:rFonts w:ascii="Arial" w:hAnsi="Arial" w:cs="Arial"/>
          <w:b/>
          <w:bCs/>
          <w:sz w:val="28"/>
          <w:szCs w:val="28"/>
        </w:rPr>
        <w:t>900184</w:t>
      </w:r>
    </w:p>
    <w:p w14:paraId="070C9922" w14:textId="3957F892" w:rsidR="005E67EA" w:rsidRPr="005E67EA" w:rsidRDefault="001617AC" w:rsidP="005E67EA">
      <w:pPr>
        <w:tabs>
          <w:tab w:val="center" w:pos="4536"/>
          <w:tab w:val="right" w:pos="9072"/>
        </w:tabs>
        <w:rPr>
          <w:rFonts w:ascii="Arial" w:eastAsia="MS Mincho" w:hAnsi="Arial" w:cs="Arial"/>
          <w:b/>
          <w:bCs/>
          <w:sz w:val="28"/>
          <w:szCs w:val="28"/>
          <w:lang w:eastAsia="ja-JP"/>
        </w:rPr>
      </w:pPr>
      <w:r>
        <w:rPr>
          <w:rFonts w:ascii="Arial" w:hAnsi="Arial" w:cs="Arial"/>
          <w:b/>
          <w:bCs/>
          <w:sz w:val="28"/>
          <w:szCs w:val="28"/>
        </w:rPr>
        <w:t>Taipei</w:t>
      </w:r>
      <w:r w:rsidR="00B10F05" w:rsidRPr="00246324">
        <w:rPr>
          <w:rFonts w:ascii="Arial" w:hAnsi="Arial" w:cs="Arial"/>
          <w:b/>
          <w:bCs/>
          <w:sz w:val="28"/>
          <w:szCs w:val="28"/>
        </w:rPr>
        <w:t xml:space="preserve">, </w:t>
      </w:r>
      <w:r>
        <w:rPr>
          <w:rFonts w:ascii="Arial" w:hAnsi="Arial" w:cs="Arial"/>
          <w:b/>
          <w:bCs/>
          <w:sz w:val="28"/>
          <w:szCs w:val="28"/>
          <w:lang w:val="en-GB"/>
        </w:rPr>
        <w:t>Taiwan</w:t>
      </w:r>
      <w:r w:rsidR="00B10F05" w:rsidRPr="00246324">
        <w:rPr>
          <w:rFonts w:ascii="Arial" w:hAnsi="Arial" w:cs="Arial"/>
          <w:b/>
          <w:bCs/>
          <w:sz w:val="28"/>
          <w:szCs w:val="28"/>
        </w:rPr>
        <w:t xml:space="preserve">, </w:t>
      </w:r>
      <w:r>
        <w:rPr>
          <w:rFonts w:ascii="Arial" w:hAnsi="Arial" w:cs="Arial"/>
          <w:b/>
          <w:bCs/>
          <w:sz w:val="28"/>
          <w:szCs w:val="28"/>
        </w:rPr>
        <w:t>January</w:t>
      </w:r>
      <w:r w:rsidR="00B10F05" w:rsidRPr="00246324">
        <w:rPr>
          <w:rFonts w:ascii="Arial" w:hAnsi="Arial" w:cs="Arial"/>
          <w:b/>
          <w:bCs/>
          <w:sz w:val="28"/>
          <w:szCs w:val="28"/>
        </w:rPr>
        <w:t xml:space="preserve"> </w:t>
      </w:r>
      <w:r>
        <w:rPr>
          <w:rFonts w:ascii="Arial" w:hAnsi="Arial" w:cs="Arial"/>
          <w:b/>
          <w:bCs/>
          <w:sz w:val="28"/>
          <w:szCs w:val="28"/>
        </w:rPr>
        <w:t>21</w:t>
      </w:r>
      <w:r w:rsidR="00B10F05" w:rsidRPr="00246324">
        <w:rPr>
          <w:rFonts w:ascii="Arial" w:hAnsi="Arial" w:cs="Arial"/>
          <w:b/>
          <w:bCs/>
          <w:sz w:val="28"/>
          <w:szCs w:val="28"/>
          <w:vertAlign w:val="superscript"/>
        </w:rPr>
        <w:t>th</w:t>
      </w:r>
      <w:r w:rsidR="00136128">
        <w:rPr>
          <w:rFonts w:ascii="Arial" w:hAnsi="Arial" w:cs="Arial"/>
          <w:b/>
          <w:bCs/>
          <w:sz w:val="28"/>
          <w:szCs w:val="28"/>
        </w:rPr>
        <w:t xml:space="preserve">– </w:t>
      </w:r>
      <w:r>
        <w:rPr>
          <w:rFonts w:ascii="Arial" w:hAnsi="Arial" w:cs="Arial"/>
          <w:b/>
          <w:bCs/>
          <w:sz w:val="28"/>
          <w:szCs w:val="28"/>
        </w:rPr>
        <w:t>25</w:t>
      </w:r>
      <w:r w:rsidR="00B10F05" w:rsidRPr="00246324">
        <w:rPr>
          <w:rFonts w:ascii="Arial" w:hAnsi="Arial" w:cs="Arial"/>
          <w:b/>
          <w:bCs/>
          <w:sz w:val="28"/>
          <w:szCs w:val="28"/>
          <w:vertAlign w:val="superscript"/>
        </w:rPr>
        <w:t>th</w:t>
      </w:r>
      <w:r>
        <w:rPr>
          <w:rFonts w:ascii="Arial" w:hAnsi="Arial" w:cs="Arial"/>
          <w:b/>
          <w:bCs/>
          <w:sz w:val="28"/>
          <w:szCs w:val="28"/>
        </w:rPr>
        <w:t>, 2019</w:t>
      </w:r>
    </w:p>
    <w:p w14:paraId="784959D9" w14:textId="6B4DEC80" w:rsidR="004607C3" w:rsidRPr="005E67EA" w:rsidRDefault="005E67EA" w:rsidP="005E67EA">
      <w:pPr>
        <w:spacing w:after="60"/>
        <w:ind w:left="1985" w:hanging="1985"/>
        <w:rPr>
          <w:rFonts w:ascii="Arial" w:hAnsi="Arial" w:cs="Arial"/>
          <w:b/>
          <w:bCs/>
          <w:sz w:val="28"/>
          <w:szCs w:val="28"/>
        </w:rPr>
      </w:pPr>
      <w:r w:rsidRPr="005E67EA">
        <w:rPr>
          <w:rFonts w:ascii="Arial" w:hAnsi="Arial" w:cs="Arial"/>
          <w:b/>
          <w:sz w:val="28"/>
          <w:szCs w:val="28"/>
        </w:rPr>
        <w:t>Agenda item:</w:t>
      </w:r>
      <w:r w:rsidRPr="005E67EA">
        <w:rPr>
          <w:rFonts w:ascii="Arial" w:hAnsi="Arial" w:cs="Arial"/>
          <w:b/>
          <w:sz w:val="28"/>
          <w:szCs w:val="28"/>
        </w:rPr>
        <w:tab/>
        <w:t>7.2.2.</w:t>
      </w:r>
      <w:r w:rsidR="001617AC">
        <w:rPr>
          <w:rFonts w:ascii="Arial" w:hAnsi="Arial" w:cs="Arial"/>
          <w:b/>
          <w:sz w:val="28"/>
          <w:szCs w:val="28"/>
        </w:rPr>
        <w:t>1</w:t>
      </w:r>
      <w:r w:rsidRPr="005E67EA">
        <w:rPr>
          <w:rFonts w:ascii="Arial" w:hAnsi="Arial" w:cs="Arial"/>
          <w:b/>
          <w:sz w:val="28"/>
          <w:szCs w:val="28"/>
        </w:rPr>
        <w:t>.</w:t>
      </w:r>
      <w:r w:rsidR="001617AC">
        <w:rPr>
          <w:rFonts w:ascii="Arial" w:hAnsi="Arial" w:cs="Arial"/>
          <w:b/>
          <w:sz w:val="28"/>
          <w:szCs w:val="28"/>
        </w:rPr>
        <w:t>2</w:t>
      </w:r>
    </w:p>
    <w:p w14:paraId="784959DB" w14:textId="52FB3261" w:rsidR="005D20F1" w:rsidRPr="005E67EA" w:rsidRDefault="005D20F1" w:rsidP="005D20F1">
      <w:pPr>
        <w:spacing w:after="60"/>
        <w:ind w:left="1985" w:hanging="1985"/>
        <w:rPr>
          <w:rFonts w:ascii="Arial" w:hAnsi="Arial" w:cs="Arial"/>
          <w:bCs/>
          <w:color w:val="000000" w:themeColor="text1"/>
          <w:sz w:val="28"/>
          <w:szCs w:val="28"/>
        </w:rPr>
      </w:pPr>
      <w:r w:rsidRPr="005E67EA">
        <w:rPr>
          <w:rFonts w:ascii="Arial" w:hAnsi="Arial" w:cs="Arial"/>
          <w:b/>
          <w:color w:val="000000" w:themeColor="text1"/>
          <w:sz w:val="28"/>
          <w:szCs w:val="28"/>
        </w:rPr>
        <w:t>Title:</w:t>
      </w:r>
      <w:r w:rsidRPr="005E67EA">
        <w:rPr>
          <w:rFonts w:ascii="Arial" w:hAnsi="Arial" w:cs="Arial"/>
          <w:b/>
          <w:color w:val="000000" w:themeColor="text1"/>
          <w:sz w:val="28"/>
          <w:szCs w:val="28"/>
        </w:rPr>
        <w:tab/>
      </w:r>
      <w:r w:rsidR="00B10F05">
        <w:rPr>
          <w:rFonts w:ascii="Arial" w:hAnsi="Arial" w:cs="Arial"/>
          <w:b/>
          <w:color w:val="000000" w:themeColor="text1"/>
          <w:sz w:val="28"/>
          <w:szCs w:val="28"/>
        </w:rPr>
        <w:t>DL Signals and Channels</w:t>
      </w:r>
      <w:r w:rsidR="001209E5"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for</w:t>
      </w:r>
      <w:r w:rsidR="001209E5" w:rsidRPr="005E67EA">
        <w:rPr>
          <w:rFonts w:ascii="Arial" w:hAnsi="Arial" w:cs="Arial"/>
          <w:b/>
          <w:color w:val="000000" w:themeColor="text1"/>
          <w:sz w:val="28"/>
          <w:szCs w:val="28"/>
        </w:rPr>
        <w:t xml:space="preserve"> NR-U</w:t>
      </w:r>
      <w:r w:rsidR="00B22739" w:rsidRPr="005E67EA">
        <w:rPr>
          <w:rFonts w:ascii="Arial" w:hAnsi="Arial" w:cs="Arial"/>
          <w:b/>
          <w:color w:val="000000" w:themeColor="text1"/>
          <w:sz w:val="28"/>
          <w:szCs w:val="28"/>
        </w:rPr>
        <w:t xml:space="preserve"> </w:t>
      </w:r>
      <w:r w:rsidR="00136128">
        <w:rPr>
          <w:rFonts w:ascii="Arial" w:hAnsi="Arial" w:cs="Arial"/>
          <w:b/>
          <w:color w:val="000000" w:themeColor="text1"/>
          <w:sz w:val="28"/>
          <w:szCs w:val="28"/>
        </w:rPr>
        <w:t>Operation</w:t>
      </w:r>
    </w:p>
    <w:p w14:paraId="784959DC" w14:textId="77777777" w:rsidR="004607C3" w:rsidRPr="005E67EA" w:rsidRDefault="004607C3">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Source:</w:t>
      </w:r>
      <w:r w:rsidRPr="005E67EA">
        <w:rPr>
          <w:rFonts w:ascii="Arial" w:hAnsi="Arial" w:cs="Arial"/>
          <w:bCs/>
          <w:color w:val="000000" w:themeColor="text1"/>
          <w:sz w:val="28"/>
          <w:szCs w:val="28"/>
        </w:rPr>
        <w:tab/>
      </w:r>
      <w:r w:rsidR="00D50E5B" w:rsidRPr="005E67EA">
        <w:rPr>
          <w:rFonts w:ascii="Arial" w:hAnsi="Arial" w:cs="Arial"/>
          <w:b/>
          <w:bCs/>
          <w:color w:val="000000" w:themeColor="text1"/>
          <w:sz w:val="28"/>
          <w:szCs w:val="28"/>
        </w:rPr>
        <w:t>MediaT</w:t>
      </w:r>
      <w:r w:rsidR="00450D8B" w:rsidRPr="005E67EA">
        <w:rPr>
          <w:rFonts w:ascii="Arial" w:hAnsi="Arial" w:cs="Arial"/>
          <w:b/>
          <w:bCs/>
          <w:color w:val="000000" w:themeColor="text1"/>
          <w:sz w:val="28"/>
          <w:szCs w:val="28"/>
        </w:rPr>
        <w:t>ek Inc.</w:t>
      </w:r>
    </w:p>
    <w:p w14:paraId="784959DD" w14:textId="77777777" w:rsidR="004607C3" w:rsidRPr="005E67EA" w:rsidRDefault="005D20F1">
      <w:pPr>
        <w:spacing w:after="60"/>
        <w:ind w:left="1985" w:hanging="1985"/>
        <w:rPr>
          <w:rFonts w:ascii="Arial" w:hAnsi="Arial" w:cs="Arial"/>
          <w:b/>
          <w:bCs/>
          <w:color w:val="000000" w:themeColor="text1"/>
          <w:sz w:val="28"/>
          <w:szCs w:val="28"/>
        </w:rPr>
      </w:pPr>
      <w:r w:rsidRPr="005E67EA">
        <w:rPr>
          <w:rFonts w:ascii="Arial" w:hAnsi="Arial" w:cs="Arial"/>
          <w:b/>
          <w:color w:val="000000" w:themeColor="text1"/>
          <w:sz w:val="28"/>
          <w:szCs w:val="28"/>
        </w:rPr>
        <w:t>Document for</w:t>
      </w:r>
      <w:r w:rsidR="004607C3" w:rsidRPr="005E67EA">
        <w:rPr>
          <w:rFonts w:ascii="Arial" w:hAnsi="Arial" w:cs="Arial"/>
          <w:b/>
          <w:color w:val="000000" w:themeColor="text1"/>
          <w:sz w:val="28"/>
          <w:szCs w:val="28"/>
        </w:rPr>
        <w:t>:</w:t>
      </w:r>
      <w:r w:rsidR="004607C3" w:rsidRPr="005E67EA">
        <w:rPr>
          <w:rFonts w:ascii="Arial" w:hAnsi="Arial" w:cs="Arial"/>
          <w:b/>
          <w:bCs/>
          <w:color w:val="000000" w:themeColor="text1"/>
          <w:sz w:val="28"/>
          <w:szCs w:val="28"/>
        </w:rPr>
        <w:tab/>
      </w:r>
      <w:r w:rsidR="004724D3" w:rsidRPr="005E67EA">
        <w:rPr>
          <w:rFonts w:ascii="Arial" w:hAnsi="Arial" w:cs="Arial"/>
          <w:b/>
          <w:bCs/>
          <w:color w:val="000000" w:themeColor="text1"/>
          <w:sz w:val="28"/>
          <w:szCs w:val="28"/>
        </w:rPr>
        <w:t>Discussion</w:t>
      </w:r>
    </w:p>
    <w:p w14:paraId="784959DE" w14:textId="77777777" w:rsidR="004607C3" w:rsidRPr="00715548" w:rsidRDefault="004607C3">
      <w:pPr>
        <w:pBdr>
          <w:bottom w:val="single" w:sz="4" w:space="1" w:color="auto"/>
        </w:pBdr>
        <w:rPr>
          <w:rFonts w:ascii="Arial" w:hAnsi="Arial" w:cs="Arial"/>
          <w:color w:val="000000" w:themeColor="text1"/>
        </w:rPr>
      </w:pPr>
    </w:p>
    <w:p w14:paraId="784959DF" w14:textId="77777777" w:rsidR="004607C3" w:rsidRPr="00715548" w:rsidRDefault="004607C3">
      <w:pPr>
        <w:rPr>
          <w:rFonts w:ascii="Arial" w:hAnsi="Arial" w:cs="Arial"/>
          <w:color w:val="000000" w:themeColor="text1"/>
        </w:rPr>
      </w:pPr>
    </w:p>
    <w:p w14:paraId="784959E0" w14:textId="77777777" w:rsidR="004607C3" w:rsidRPr="00715548" w:rsidRDefault="005D20F1" w:rsidP="00823FE1">
      <w:pPr>
        <w:pStyle w:val="Heading1"/>
        <w:numPr>
          <w:ilvl w:val="0"/>
          <w:numId w:val="5"/>
        </w:numPr>
        <w:spacing w:after="120"/>
        <w:ind w:right="288"/>
        <w:rPr>
          <w:color w:val="000000" w:themeColor="text1"/>
        </w:rPr>
      </w:pPr>
      <w:r w:rsidRPr="00715548">
        <w:rPr>
          <w:color w:val="000000" w:themeColor="text1"/>
        </w:rPr>
        <w:t>Introduction</w:t>
      </w:r>
    </w:p>
    <w:p w14:paraId="6EFA05A4" w14:textId="6191EBB2" w:rsidR="0064588D" w:rsidRDefault="00707323" w:rsidP="006E4D6C">
      <w:pPr>
        <w:jc w:val="both"/>
      </w:pPr>
      <w:r>
        <w:t xml:space="preserve">The </w:t>
      </w:r>
      <w:r w:rsidR="006E37A8">
        <w:t>work</w:t>
      </w:r>
      <w:r w:rsidR="0064588D" w:rsidRPr="0064588D">
        <w:t xml:space="preserve"> item proposal </w:t>
      </w:r>
      <w:r w:rsidR="00F70069">
        <w:t>for</w:t>
      </w:r>
      <w:r w:rsidR="0064588D" w:rsidRPr="0064588D">
        <w:t xml:space="preserve"> NR-based A</w:t>
      </w:r>
      <w:r w:rsidR="00782710">
        <w:t>ccess to Unlicensed Spectrum</w:t>
      </w:r>
      <w:r w:rsidR="0064588D" w:rsidRPr="0064588D">
        <w:t xml:space="preserve"> was approved in RAN-</w:t>
      </w:r>
      <w:r w:rsidR="00D97828">
        <w:t>82</w:t>
      </w:r>
      <w:r w:rsidR="0064588D" w:rsidRPr="0064588D">
        <w:t xml:space="preserve"> in </w:t>
      </w:r>
      <w:r w:rsidR="00D97828">
        <w:t>December</w:t>
      </w:r>
      <w:r w:rsidR="0064588D" w:rsidRPr="0064588D">
        <w:t>, 201</w:t>
      </w:r>
      <w:r w:rsidR="00D97828">
        <w:t xml:space="preserve">8 </w:t>
      </w:r>
      <w:r w:rsidR="00583D4B">
        <w:fldChar w:fldCharType="begin"/>
      </w:r>
      <w:r w:rsidR="00583D4B">
        <w:instrText xml:space="preserve"> REF _Ref528853922 \r \h </w:instrText>
      </w:r>
      <w:r w:rsidR="00583D4B">
        <w:fldChar w:fldCharType="separate"/>
      </w:r>
      <w:r w:rsidR="00D74950">
        <w:t>[1]</w:t>
      </w:r>
      <w:r w:rsidR="00583D4B">
        <w:fldChar w:fldCharType="end"/>
      </w:r>
      <w:r w:rsidR="00D97828">
        <w:t xml:space="preserve">. </w:t>
      </w:r>
      <w:r w:rsidR="006E37A8">
        <w:t>For DL signals and channels for NR-U operation, the work item objectives have also been identified</w:t>
      </w:r>
      <w:r w:rsidR="00F769D8">
        <w:t xml:space="preserve"> </w:t>
      </w:r>
      <w:r w:rsidR="00F769D8">
        <w:fldChar w:fldCharType="begin"/>
      </w:r>
      <w:r w:rsidR="00F769D8">
        <w:instrText xml:space="preserve"> REF _Ref534978969 \n \h </w:instrText>
      </w:r>
      <w:r w:rsidR="00F769D8">
        <w:fldChar w:fldCharType="separate"/>
      </w:r>
      <w:r w:rsidR="00F769D8">
        <w:t>[</w:t>
      </w:r>
      <w:r w:rsidR="00F769D8">
        <w:t>1</w:t>
      </w:r>
      <w:r w:rsidR="00F769D8">
        <w:t>]</w:t>
      </w:r>
      <w:r w:rsidR="00F769D8">
        <w:fldChar w:fldCharType="end"/>
      </w:r>
      <w:r w:rsidR="006E37A8">
        <w:t>:</w:t>
      </w:r>
    </w:p>
    <w:p w14:paraId="69F9FB74" w14:textId="55F0D503" w:rsidR="006E37A8" w:rsidRDefault="006E37A8" w:rsidP="006E37A8">
      <w:pPr>
        <w:pStyle w:val="B2"/>
        <w:numPr>
          <w:ilvl w:val="0"/>
          <w:numId w:val="35"/>
        </w:numPr>
        <w:jc w:val="both"/>
        <w:rPr>
          <w:lang w:eastAsia="ja-JP"/>
        </w:rPr>
      </w:pPr>
      <w:r>
        <w:rPr>
          <w:lang w:eastAsia="ja-JP"/>
        </w:rPr>
        <w:t>For DL data channel, support of multiple PDSCH starting positions.</w:t>
      </w:r>
    </w:p>
    <w:p w14:paraId="3630795E" w14:textId="36D16C55" w:rsidR="006E37A8" w:rsidRDefault="006E37A8" w:rsidP="006E37A8">
      <w:pPr>
        <w:pStyle w:val="B2"/>
        <w:numPr>
          <w:ilvl w:val="0"/>
          <w:numId w:val="35"/>
        </w:numPr>
        <w:rPr>
          <w:lang w:eastAsia="ja-JP"/>
        </w:rPr>
      </w:pP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F769D8">
        <w:rPr>
          <w:lang w:eastAsia="ja-JP"/>
        </w:rPr>
        <w:t>[2]</w:t>
      </w:r>
      <w:r w:rsidR="00F769D8">
        <w:rPr>
          <w:lang w:eastAsia="ja-JP"/>
        </w:rPr>
        <w:fldChar w:fldCharType="end"/>
      </w:r>
      <w:r w:rsidRPr="00645A29">
        <w:rPr>
          <w:lang w:eastAsia="ja-JP"/>
        </w:rPr>
        <w:t>, Section 7.2.1.2</w:t>
      </w:r>
      <w:bookmarkEnd w:id="0"/>
      <w:r>
        <w:rPr>
          <w:lang w:eastAsia="ja-JP"/>
        </w:rPr>
        <w:t xml:space="preserve"> related to UE po</w:t>
      </w:r>
      <w:r>
        <w:rPr>
          <w:lang w:eastAsia="ja-JP"/>
        </w:rPr>
        <w:t xml:space="preserve">wer </w:t>
      </w:r>
      <w:r>
        <w:rPr>
          <w:lang w:eastAsia="ja-JP"/>
        </w:rPr>
        <w:t>consumption</w:t>
      </w:r>
      <w:r w:rsidRPr="00645A29">
        <w:rPr>
          <w:lang w:eastAsia="ja-JP"/>
        </w:rPr>
        <w:t>.</w:t>
      </w:r>
    </w:p>
    <w:p w14:paraId="470E4460" w14:textId="647F7D40" w:rsidR="0064588D" w:rsidRDefault="006E37A8" w:rsidP="006E37A8">
      <w:pPr>
        <w:pStyle w:val="B2"/>
        <w:numPr>
          <w:ilvl w:val="0"/>
          <w:numId w:val="35"/>
        </w:numPr>
        <w:rPr>
          <w:lang w:eastAsia="ja-JP"/>
        </w:rPr>
      </w:pPr>
      <w:r w:rsidRPr="006E37A8">
        <w:rPr>
          <w:lang w:eastAsia="ja-JP"/>
        </w:rPr>
        <w:t>DL control in line with the agreements during the study phase (TR 38.889</w:t>
      </w:r>
      <w:r w:rsidR="00F769D8">
        <w:rPr>
          <w:lang w:eastAsia="ja-JP"/>
        </w:rPr>
        <w:t xml:space="preserve"> </w:t>
      </w:r>
      <w:r w:rsidR="00F769D8">
        <w:rPr>
          <w:lang w:eastAsia="ja-JP"/>
        </w:rPr>
        <w:fldChar w:fldCharType="begin"/>
      </w:r>
      <w:r w:rsidR="00F769D8">
        <w:rPr>
          <w:lang w:eastAsia="ja-JP"/>
        </w:rPr>
        <w:instrText xml:space="preserve"> REF _Ref534978997 \n \h </w:instrText>
      </w:r>
      <w:r w:rsidR="00F769D8">
        <w:rPr>
          <w:lang w:eastAsia="ja-JP"/>
        </w:rPr>
      </w:r>
      <w:r w:rsidR="00F769D8">
        <w:rPr>
          <w:lang w:eastAsia="ja-JP"/>
        </w:rPr>
        <w:fldChar w:fldCharType="separate"/>
      </w:r>
      <w:r w:rsidR="00F769D8">
        <w:rPr>
          <w:lang w:eastAsia="ja-JP"/>
        </w:rPr>
        <w:t>[2]</w:t>
      </w:r>
      <w:r w:rsidR="00F769D8">
        <w:rPr>
          <w:lang w:eastAsia="ja-JP"/>
        </w:rPr>
        <w:fldChar w:fldCharType="end"/>
      </w:r>
      <w:r w:rsidRPr="006E37A8">
        <w:rPr>
          <w:lang w:eastAsia="ja-JP"/>
        </w:rPr>
        <w:t>, Section 7.2.1.2) including extensions allowing dynamic change of the time domain instances in which the UE is expected to receive PDCCH, modifications enabling DRS transmissions without gaps in the time-domain, and indicat</w:t>
      </w:r>
      <w:r>
        <w:rPr>
          <w:lang w:eastAsia="ja-JP"/>
        </w:rPr>
        <w:t>ion of time domain COT structure</w:t>
      </w:r>
      <w:r w:rsidR="003030DA">
        <w:rPr>
          <w:lang w:eastAsia="ja-JP"/>
        </w:rPr>
        <w:t>.</w:t>
      </w:r>
    </w:p>
    <w:p w14:paraId="5735C7DC" w14:textId="611CE163" w:rsidR="00707323" w:rsidRPr="008B481F" w:rsidRDefault="00707323" w:rsidP="006E4D6C">
      <w:pPr>
        <w:jc w:val="both"/>
        <w:rPr>
          <w:color w:val="000000" w:themeColor="text1"/>
        </w:rPr>
      </w:pPr>
      <w:r>
        <w:t xml:space="preserve">In this contribution, we </w:t>
      </w:r>
      <w:r w:rsidR="00F4781E">
        <w:t xml:space="preserve">will first </w:t>
      </w:r>
      <w:r>
        <w:t>discuss</w:t>
      </w:r>
      <w:r>
        <w:rPr>
          <w:color w:val="000000" w:themeColor="text1"/>
        </w:rPr>
        <w:t xml:space="preserve"> </w:t>
      </w:r>
      <w:r w:rsidR="00DD3D50" w:rsidRPr="00F059B4">
        <w:rPr>
          <w:color w:val="000000" w:themeColor="text1"/>
        </w:rPr>
        <w:t xml:space="preserve">the </w:t>
      </w:r>
      <w:r w:rsidR="00F70069">
        <w:rPr>
          <w:color w:val="000000" w:themeColor="text1"/>
        </w:rPr>
        <w:t>impact on PDSCH in order to support flexible transmission starting point due to LBT</w:t>
      </w:r>
      <w:r w:rsidR="00F4781E">
        <w:rPr>
          <w:color w:val="000000" w:themeColor="text1"/>
        </w:rPr>
        <w:t xml:space="preserve">. </w:t>
      </w:r>
      <w:r w:rsidR="001200CB">
        <w:rPr>
          <w:color w:val="000000" w:themeColor="text1"/>
        </w:rPr>
        <w:t xml:space="preserve">We then discuss the </w:t>
      </w:r>
      <w:r w:rsidR="002E183C">
        <w:rPr>
          <w:color w:val="000000" w:themeColor="text1"/>
        </w:rPr>
        <w:t xml:space="preserve">impact on PDCCH monitoring, identifying the additional difficulties and challenges introduced by LBT. Finally, we discuss methods for gNB transmission burst detection, and how they could be used to enhance PDCCH monitoring and </w:t>
      </w:r>
      <w:r w:rsidR="0016297C">
        <w:rPr>
          <w:color w:val="000000" w:themeColor="text1"/>
        </w:rPr>
        <w:t>to achieve UE power saving.</w:t>
      </w:r>
    </w:p>
    <w:p w14:paraId="553FFD4A" w14:textId="347B0AE1" w:rsidR="00707323" w:rsidRPr="00707323" w:rsidRDefault="00D40D66" w:rsidP="00707323">
      <w:pPr>
        <w:pStyle w:val="Heading1"/>
        <w:numPr>
          <w:ilvl w:val="0"/>
          <w:numId w:val="5"/>
        </w:numPr>
        <w:spacing w:after="120"/>
        <w:ind w:right="288"/>
        <w:rPr>
          <w:color w:val="000000" w:themeColor="text1"/>
        </w:rPr>
      </w:pPr>
      <w:r>
        <w:rPr>
          <w:lang w:eastAsia="zh-CN"/>
        </w:rPr>
        <w:t>PDSCH Transmission for NR-U Operation</w:t>
      </w:r>
    </w:p>
    <w:p w14:paraId="5910CB2B" w14:textId="46A5D547" w:rsidR="005B4284" w:rsidRDefault="003030DA" w:rsidP="005B4284">
      <w:r>
        <w:t>In this section, w</w:t>
      </w:r>
      <w:r w:rsidR="005B4284">
        <w:t xml:space="preserve">e </w:t>
      </w:r>
      <w:r>
        <w:t>discuss</w:t>
      </w:r>
      <w:r w:rsidR="005B4284">
        <w:t xml:space="preserve"> possible mappings between Transport Blocks (TB) and slots. Specifically, given a partial slot followed by several full length slots in a COT, we discuss how we should partition the data into TBs, and map them to these slots. We start by showing example figures of the various options </w:t>
      </w:r>
      <w:r w:rsidR="00F769D8">
        <w:t>listed</w:t>
      </w:r>
      <w:r w:rsidR="005B4284">
        <w:t xml:space="preserve"> in </w:t>
      </w:r>
      <w:r w:rsidR="005B4284">
        <w:fldChar w:fldCharType="begin"/>
      </w:r>
      <w:r w:rsidR="005B4284">
        <w:instrText xml:space="preserve"> REF _Ref528834416 \r \h </w:instrText>
      </w:r>
      <w:r w:rsidR="005B4284">
        <w:fldChar w:fldCharType="separate"/>
      </w:r>
      <w:r w:rsidR="005B4284">
        <w:t>[2]</w:t>
      </w:r>
      <w:r w:rsidR="005B4284">
        <w:fldChar w:fldCharType="end"/>
      </w:r>
      <w:r w:rsidR="005B4284">
        <w:t>.</w:t>
      </w:r>
    </w:p>
    <w:p w14:paraId="744F1865" w14:textId="46A39838" w:rsidR="005B4284" w:rsidRDefault="005B4284" w:rsidP="005B4284">
      <w:r>
        <w:t>Before the gNB can transmit a TB it first needs to calculate the TB size corresponding to each mini-slot according to the MCS and the number of OFDM symbols for each corresponding mini-slot. Data is partitioned according to the TB sizes calculated. The TBs are then encoded, and finally mapped onto the corresponding mini-slots. LBT success can occur at any time, therefore, this process needs to be done ahead of time by the gNB so that it may immediately start transmitting. This implies that the time at which LBT may succeed is completely unknown to the gNB, and the gNB needs to be ready to transmit regardless of how many symbols that may be left in a partial slot. Unless the size of initial transmit</w:t>
      </w:r>
      <w:r w:rsidRPr="00501509">
        <w:t xml:space="preserve"> </w:t>
      </w:r>
      <w:r>
        <w:t xml:space="preserve">is known a-priori, the gNB will need to continuously re-build different TB and or mini-slot combinations while it waits for access to the channel(s). </w:t>
      </w:r>
      <w:r w:rsidR="008809DF">
        <w:t>As stated in</w:t>
      </w:r>
      <w:r>
        <w:t xml:space="preserve"> </w:t>
      </w:r>
      <w:r>
        <w:fldChar w:fldCharType="begin"/>
      </w:r>
      <w:r>
        <w:instrText xml:space="preserve"> REF _Ref528834416 \r \h </w:instrText>
      </w:r>
      <w:r>
        <w:fldChar w:fldCharType="separate"/>
      </w:r>
      <w:r>
        <w:t>[2]</w:t>
      </w:r>
      <w:r>
        <w:fldChar w:fldCharType="end"/>
      </w:r>
      <w:r w:rsidR="008809DF">
        <w:t xml:space="preserve">, it </w:t>
      </w:r>
      <w:r>
        <w:t xml:space="preserve">is </w:t>
      </w:r>
      <w:r w:rsidR="008809DF">
        <w:t xml:space="preserve">beneficial </w:t>
      </w:r>
      <w:r>
        <w:t>to try to avoid this behavior.</w:t>
      </w:r>
    </w:p>
    <w:p w14:paraId="3DE8E418" w14:textId="62F3E047" w:rsidR="009776BF" w:rsidRDefault="003030DA" w:rsidP="005B4284">
      <w:r>
        <w:t xml:space="preserve">In the following, </w:t>
      </w:r>
      <w:r w:rsidR="009776BF">
        <w:t xml:space="preserve">we will </w:t>
      </w:r>
      <w:r>
        <w:t xml:space="preserve">first </w:t>
      </w:r>
      <w:r w:rsidR="009776BF">
        <w:t xml:space="preserve">discuss the currently agreed upon options 1-3 from </w:t>
      </w:r>
      <w:r w:rsidR="009776BF">
        <w:fldChar w:fldCharType="begin"/>
      </w:r>
      <w:r w:rsidR="009776BF">
        <w:instrText xml:space="preserve"> REF _Ref528834416 \r \h </w:instrText>
      </w:r>
      <w:r w:rsidR="009776BF">
        <w:fldChar w:fldCharType="separate"/>
      </w:r>
      <w:r w:rsidR="009776BF">
        <w:t>[</w:t>
      </w:r>
      <w:r w:rsidR="009776BF">
        <w:t>2</w:t>
      </w:r>
      <w:r w:rsidR="009776BF">
        <w:t>]</w:t>
      </w:r>
      <w:r w:rsidR="009776BF">
        <w:fldChar w:fldCharType="end"/>
      </w:r>
      <w:r w:rsidR="009776BF">
        <w:t xml:space="preserve"> and then we will discuss these options 1-4 in combination with each other.</w:t>
      </w:r>
    </w:p>
    <w:p w14:paraId="153F117F" w14:textId="01221C6C" w:rsidR="003030DA" w:rsidRDefault="003030DA" w:rsidP="005B4284">
      <w:r>
        <w:t xml:space="preserve">The hopefully immediately obvious concern with Option 1 as shown in </w:t>
      </w:r>
      <w:r>
        <w:fldChar w:fldCharType="begin"/>
      </w:r>
      <w:r>
        <w:instrText xml:space="preserve"> REF _Ref528680646 \h </w:instrText>
      </w:r>
      <w:r>
        <w:fldChar w:fldCharType="separate"/>
      </w:r>
      <w:r>
        <w:t xml:space="preserve">Figure </w:t>
      </w:r>
      <w:r>
        <w:rPr>
          <w:noProof/>
        </w:rPr>
        <w:t>1</w:t>
      </w:r>
      <w:r>
        <w:fldChar w:fldCharType="end"/>
      </w:r>
      <w:r>
        <w:t xml:space="preserve"> is that it appears to violate the spirit of the agreement from </w:t>
      </w:r>
      <w:r>
        <w:fldChar w:fldCharType="begin"/>
      </w:r>
      <w:r>
        <w:instrText xml:space="preserve"> REF _Ref528834416 \r \h </w:instrText>
      </w:r>
      <w:r>
        <w:fldChar w:fldCharType="separate"/>
      </w:r>
      <w:r>
        <w:t>[2]</w:t>
      </w:r>
      <w:r>
        <w:fldChar w:fldCharType="end"/>
      </w:r>
      <w:r w:rsidR="008809DF">
        <w:t xml:space="preserve"> such that</w:t>
      </w:r>
      <w:r>
        <w:t xml:space="preserve"> “</w:t>
      </w:r>
      <w:r w:rsidRPr="003B7E0B">
        <w:rPr>
          <w:highlight w:val="green"/>
        </w:rPr>
        <w:t>not requiring the gNB to change a pre-determined TBS for a PDSCH transmission depending on the LBT outcome</w:t>
      </w:r>
      <w:r>
        <w:t xml:space="preserve">”. Another lesser concern is with the use of multiple mini-slots to fill the entire partial slot allocation. With each mini-slot comes significant PDCCH and DMRS overhead to support the reception of this by the UE. Likewise, this does not completely mitigate the requirement for a reservation signal since certain partial slot sizes cannot be built from the currently agreed mini-slot sizes of 2-, 4- or 7-symbols. For example a 1-, 3- or 5-symbol partial slot will still need a 1-symbol reservation signal. This will lower the potential throughput that can be achieved. There is also a concern over the fact that if one of the min-slots from the partial slot were to fail their integrity check at the UE upon reception and therefore would need re-transmitting. Presumably this would be done by mapping this shorter TB onto a full slot with excessive redundancy relative to the desired MCS target code rate which would be wasteful of the allocated resources. To alleviate the waste one could argue for carving up the whole slot into same size mini-slots on which the HARQ-NACKed TB was carried to make space for a </w:t>
      </w:r>
      <w:r>
        <w:lastRenderedPageBreak/>
        <w:t>HARQ re-transmission of this failed initial mini-slot TB. This problem then perpetuates as there is equal or greater likelihood of these new mini-slot TBs from the full slot also failing, Re-transmission of mini-slots in this way also reduces the gNB scheduling flexibility. Finally, for a given code family (either BG1 or BG2) and code rate, a smaller TB carried in a mini-slot would experience extra performance penalty when compared to the larger TB carried on subsequent full slots. Worse still the different size TBs might fall either side of the transition values for LDPC BG1 or LDPC BG2 such that the mini-slot TBs would be encoded with LDPC BG1 while the others would be encoded with LDPC BG2.</w:t>
      </w:r>
    </w:p>
    <w:p w14:paraId="3EFA0F00" w14:textId="329265B7" w:rsidR="003030DA" w:rsidRPr="003030DA" w:rsidRDefault="003030DA" w:rsidP="005B4284">
      <w:pPr>
        <w:rPr>
          <w:rFonts w:eastAsia="SimSun"/>
          <w:b/>
          <w:lang w:eastAsia="zh-CN"/>
        </w:rPr>
      </w:pPr>
      <w:r>
        <w:rPr>
          <w:rFonts w:eastAsia="SimSun"/>
          <w:b/>
          <w:lang w:eastAsia="zh-CN"/>
        </w:rPr>
        <w:t xml:space="preserve">Observation </w:t>
      </w:r>
      <w:r w:rsidR="008809DF">
        <w:rPr>
          <w:rFonts w:eastAsia="SimSun"/>
          <w:b/>
          <w:lang w:eastAsia="zh-CN"/>
        </w:rPr>
        <w:t>1</w:t>
      </w:r>
      <w:r>
        <w:rPr>
          <w:rFonts w:eastAsia="SimSun"/>
          <w:b/>
          <w:lang w:eastAsia="zh-CN"/>
        </w:rPr>
        <w:t>: Type-A and Type-B slot lengths together are insufficient to cover every possible partial slot length immediately following a successful LBT. 1-, 3- or 5-</w:t>
      </w:r>
      <w:r w:rsidRPr="00501509">
        <w:rPr>
          <w:rFonts w:eastAsia="SimSun"/>
          <w:b/>
          <w:lang w:eastAsia="zh-CN"/>
        </w:rPr>
        <w:t>symbol partial slot</w:t>
      </w:r>
      <w:r>
        <w:rPr>
          <w:rFonts w:eastAsia="SimSun"/>
          <w:b/>
          <w:lang w:eastAsia="zh-CN"/>
        </w:rPr>
        <w:t>s</w:t>
      </w:r>
      <w:r w:rsidRPr="00501509">
        <w:rPr>
          <w:rFonts w:eastAsia="SimSun"/>
          <w:b/>
          <w:lang w:eastAsia="zh-CN"/>
        </w:rPr>
        <w:t xml:space="preserve"> will still need a 1-symbol reservation signal.</w:t>
      </w:r>
    </w:p>
    <w:p w14:paraId="1967CA7D" w14:textId="77777777" w:rsidR="005B4284" w:rsidRDefault="005B4284" w:rsidP="005B4284">
      <w:pPr>
        <w:keepNext/>
      </w:pPr>
      <w:r w:rsidRPr="003B7E0B">
        <w:rPr>
          <w:noProof/>
          <w:lang w:eastAsia="zh-TW"/>
        </w:rPr>
        <w:drawing>
          <wp:inline distT="0" distB="0" distL="0" distR="0" wp14:anchorId="68FB595C" wp14:editId="0DA0074A">
            <wp:extent cx="6475730" cy="2855293"/>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5730" cy="2855293"/>
                    </a:xfrm>
                    <a:prstGeom prst="rect">
                      <a:avLst/>
                    </a:prstGeom>
                    <a:noFill/>
                    <a:ln>
                      <a:noFill/>
                    </a:ln>
                  </pic:spPr>
                </pic:pic>
              </a:graphicData>
            </a:graphic>
          </wp:inline>
        </w:drawing>
      </w:r>
    </w:p>
    <w:p w14:paraId="3DCFD130" w14:textId="77777777" w:rsidR="005B4284" w:rsidRDefault="005B4284" w:rsidP="005B4284">
      <w:pPr>
        <w:pStyle w:val="Caption"/>
        <w:jc w:val="center"/>
      </w:pPr>
      <w:bookmarkStart w:id="1" w:name="_Ref528680646"/>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Option 1: PDSCH(s) as in Rel-15 NR</w:t>
      </w:r>
    </w:p>
    <w:p w14:paraId="42B7E8D8" w14:textId="3554FD81" w:rsidR="005B4284" w:rsidRDefault="005B4284" w:rsidP="005B4284">
      <w:r>
        <w:t xml:space="preserve">Next we provide a discussion on Option 2 of the agreement from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_Ref528681214 \h </w:instrText>
      </w:r>
      <w:r>
        <w:fldChar w:fldCharType="separate"/>
      </w:r>
      <w:r>
        <w:t xml:space="preserve">Figure </w:t>
      </w:r>
      <w:r>
        <w:rPr>
          <w:noProof/>
        </w:rPr>
        <w:t>2</w:t>
      </w:r>
      <w:r>
        <w:fldChar w:fldCharType="end"/>
      </w:r>
      <w:r>
        <w:t>.</w:t>
      </w:r>
    </w:p>
    <w:p w14:paraId="2EDA9707" w14:textId="511778EA" w:rsidR="003030DA" w:rsidRDefault="003030DA" w:rsidP="003030DA">
      <w:r>
        <w:t xml:space="preserve">Again, the concern with Option 2 as shown in </w:t>
      </w:r>
      <w:r>
        <w:fldChar w:fldCharType="begin"/>
      </w:r>
      <w:r>
        <w:instrText xml:space="preserve"> REF _Ref528681214 \h </w:instrText>
      </w:r>
      <w:r>
        <w:fldChar w:fldCharType="separate"/>
      </w:r>
      <w:r>
        <w:t xml:space="preserve">Figure </w:t>
      </w:r>
      <w:r>
        <w:rPr>
          <w:noProof/>
        </w:rPr>
        <w:t>2</w:t>
      </w:r>
      <w:r>
        <w:fldChar w:fldCharType="end"/>
      </w:r>
      <w:r>
        <w:t xml:space="preserve"> is that there will be an almost certain need for a re-transmission of the first and last TB of the COT as some CBs are either heavily or completely punctured away. Some of this punctured loss can be mitigated by the use of re-transmissions of code block groups (CBGs), however, CBG signaling is not a mandatory option and therefore may not be utilized, in which case the entire TB will need re-transmission, even the CBs that were actually transmitted and more than likely also been decoded correctly, leading to wasted utilization of the available resources and a reduced throughput user experience. Secondly, CBG will only realistically be used for very large TBs meaning that re-transmission of entire smaller TBs is again an almost certainty. There is a small chance that lightly punctured very small TBs (that are not segmented into multiple CBs because of their size) might be recovered by channel coding. However, this is very quickly eroded by the fact that systematic LDPC information is carried on higher likelihood constellation points and therefore spread across the entire CB RE mapping, implying that puncturing even a small number of OFDM symbols will also lead to puncturing of systematic information. All of this together implies that TBs punctured in this way will not in all likelihood ever be self-contained within a single COT.</w:t>
      </w:r>
    </w:p>
    <w:p w14:paraId="12E0B1F3" w14:textId="188DFBCB" w:rsidR="003030DA" w:rsidRPr="003B7E0B" w:rsidRDefault="003030DA" w:rsidP="003030DA">
      <w:r>
        <w:t xml:space="preserve">Next we provide a discussion on Option 3 of the agreement from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_Ref528682242 \h </w:instrText>
      </w:r>
      <w:r>
        <w:fldChar w:fldCharType="separate"/>
      </w:r>
      <w:r>
        <w:t xml:space="preserve">Figure </w:t>
      </w:r>
      <w:r>
        <w:rPr>
          <w:noProof/>
        </w:rPr>
        <w:t>3</w:t>
      </w:r>
      <w:r>
        <w:fldChar w:fldCharType="end"/>
      </w:r>
      <w:r>
        <w:t>.</w:t>
      </w:r>
    </w:p>
    <w:p w14:paraId="5E4F5EF4" w14:textId="3A5E354F" w:rsidR="00DB33A7" w:rsidRDefault="00DB33A7" w:rsidP="00DB33A7">
      <w:r>
        <w:t>The hopefully immediate</w:t>
      </w:r>
      <w:r>
        <w:t>ly obvious concern with Option 3</w:t>
      </w:r>
      <w:r>
        <w:t xml:space="preserve"> as shown in </w:t>
      </w:r>
      <w:r>
        <w:fldChar w:fldCharType="begin"/>
      </w:r>
      <w:r>
        <w:instrText xml:space="preserve"> REF _Ref528682242 \h </w:instrText>
      </w:r>
      <w:r>
        <w:fldChar w:fldCharType="separate"/>
      </w:r>
      <w:r>
        <w:t xml:space="preserve">Figure </w:t>
      </w:r>
      <w:r>
        <w:rPr>
          <w:noProof/>
        </w:rPr>
        <w:t>3</w:t>
      </w:r>
      <w:r>
        <w:fldChar w:fldCharType="end"/>
      </w:r>
      <w:r>
        <w:t xml:space="preserve"> is that it appears to also violate the spirit of the agreement</w:t>
      </w:r>
      <w:r w:rsidR="008809DF">
        <w:t xml:space="preserve"> in </w:t>
      </w:r>
      <w:r w:rsidR="008809DF">
        <w:fldChar w:fldCharType="begin"/>
      </w:r>
      <w:r w:rsidR="008809DF">
        <w:instrText xml:space="preserve"> REF _Ref534978997 \n \h </w:instrText>
      </w:r>
      <w:r w:rsidR="008809DF">
        <w:fldChar w:fldCharType="separate"/>
      </w:r>
      <w:r w:rsidR="008809DF">
        <w:t>[2]</w:t>
      </w:r>
      <w:r w:rsidR="008809DF">
        <w:fldChar w:fldCharType="end"/>
      </w:r>
      <w:r w:rsidR="008809DF">
        <w:t xml:space="preserve"> </w:t>
      </w:r>
      <w:r>
        <w:t>of “</w:t>
      </w:r>
      <w:r w:rsidRPr="003B7E0B">
        <w:rPr>
          <w:highlight w:val="green"/>
        </w:rPr>
        <w:t>not requiring the gNB to change a pre-determined TBS for a PDSCH transmission depending on the LBT outcome</w:t>
      </w:r>
      <w:r>
        <w:t>”. It does mitigate the excessive PDCCH and DMRS overhead seen in Option 1 since there would now be only a single mini-slot spanning the entire partial slot. There would also not be any need for a reservation signal. However, the issue of how to facilitate the re-transmission of a mini-slot mentioned in Option 1 still remains with Option 3.</w:t>
      </w:r>
    </w:p>
    <w:p w14:paraId="09F4046B" w14:textId="25FA9042" w:rsidR="003030DA" w:rsidRPr="003B7E0B" w:rsidRDefault="00DB33A7" w:rsidP="00DB33A7">
      <w:r>
        <w:t>Since it was agreed that the proposed options from the agreement are not considered mutually exclusive we now propose some combinations of these options that serve to address some of the concern previously listed.</w:t>
      </w:r>
    </w:p>
    <w:p w14:paraId="246C8A80" w14:textId="77777777" w:rsidR="005B4284" w:rsidRDefault="005B4284" w:rsidP="005B4284">
      <w:pPr>
        <w:keepNext/>
      </w:pPr>
      <w:r w:rsidRPr="003B7E0B">
        <w:rPr>
          <w:noProof/>
          <w:lang w:eastAsia="zh-TW"/>
        </w:rPr>
        <w:lastRenderedPageBreak/>
        <w:drawing>
          <wp:inline distT="0" distB="0" distL="0" distR="0" wp14:anchorId="4F444A0B" wp14:editId="172667EB">
            <wp:extent cx="6475730" cy="4665512"/>
            <wp:effectExtent l="0" t="0" r="127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730" cy="4665512"/>
                    </a:xfrm>
                    <a:prstGeom prst="rect">
                      <a:avLst/>
                    </a:prstGeom>
                    <a:noFill/>
                    <a:ln>
                      <a:noFill/>
                    </a:ln>
                  </pic:spPr>
                </pic:pic>
              </a:graphicData>
            </a:graphic>
          </wp:inline>
        </w:drawing>
      </w:r>
    </w:p>
    <w:p w14:paraId="730A16C8" w14:textId="77777777" w:rsidR="005B4284" w:rsidRDefault="005B4284" w:rsidP="005B4284">
      <w:pPr>
        <w:pStyle w:val="Caption"/>
        <w:jc w:val="center"/>
      </w:pPr>
      <w:bookmarkStart w:id="2" w:name="_Ref52868121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Option 2: Puncture in place (at the beginning) or puncture at the end</w:t>
      </w:r>
    </w:p>
    <w:p w14:paraId="235E2240" w14:textId="46D2397B" w:rsidR="005B4284" w:rsidRDefault="005B4284" w:rsidP="005B4284">
      <w:pPr>
        <w:keepNext/>
      </w:pPr>
      <w:r w:rsidRPr="00501509">
        <w:rPr>
          <w:noProof/>
          <w:lang w:eastAsia="zh-TW"/>
        </w:rPr>
        <w:drawing>
          <wp:inline distT="0" distB="0" distL="0" distR="0" wp14:anchorId="759C089D" wp14:editId="7E0377C7">
            <wp:extent cx="6475730" cy="348944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730" cy="3489444"/>
                    </a:xfrm>
                    <a:prstGeom prst="rect">
                      <a:avLst/>
                    </a:prstGeom>
                    <a:noFill/>
                    <a:ln>
                      <a:noFill/>
                    </a:ln>
                  </pic:spPr>
                </pic:pic>
              </a:graphicData>
            </a:graphic>
          </wp:inline>
        </w:drawing>
      </w:r>
    </w:p>
    <w:p w14:paraId="07E3C9F3" w14:textId="60F36D37" w:rsidR="005B4284" w:rsidRPr="003B7E0B" w:rsidRDefault="005B4284" w:rsidP="00DB33A7">
      <w:pPr>
        <w:pStyle w:val="Caption"/>
        <w:jc w:val="center"/>
      </w:pPr>
      <w:bookmarkStart w:id="3" w:name="_Ref528682242"/>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Option 3: PDSCH mapping type B with durations other than 2/4/7 symbols</w:t>
      </w:r>
    </w:p>
    <w:p w14:paraId="48C73543" w14:textId="77777777" w:rsidR="005B4284" w:rsidRDefault="005B4284" w:rsidP="005B4284">
      <w:pPr>
        <w:keepNext/>
      </w:pPr>
      <w:r w:rsidRPr="00995E8E">
        <w:rPr>
          <w:noProof/>
          <w:lang w:eastAsia="zh-TW"/>
        </w:rPr>
        <w:lastRenderedPageBreak/>
        <w:drawing>
          <wp:inline distT="0" distB="0" distL="0" distR="0" wp14:anchorId="6616FA29" wp14:editId="1A87F441">
            <wp:extent cx="6475730" cy="1836738"/>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5730" cy="1836738"/>
                    </a:xfrm>
                    <a:prstGeom prst="rect">
                      <a:avLst/>
                    </a:prstGeom>
                    <a:noFill/>
                    <a:ln>
                      <a:noFill/>
                    </a:ln>
                  </pic:spPr>
                </pic:pic>
              </a:graphicData>
            </a:graphic>
          </wp:inline>
        </w:drawing>
      </w:r>
    </w:p>
    <w:p w14:paraId="1D5317D8" w14:textId="77777777" w:rsidR="005B4284" w:rsidRDefault="005B4284" w:rsidP="005B4284">
      <w:pPr>
        <w:pStyle w:val="Caption"/>
        <w:jc w:val="center"/>
      </w:pPr>
      <w:bookmarkStart w:id="4" w:name="_Ref528685221"/>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Option 1 + Option 2 + Option 3 + Option 4</w:t>
      </w:r>
      <w:r>
        <w:rPr>
          <w:noProof/>
        </w:rPr>
        <w:t>: NR rate-match to fit, with slot aggregation if CR too high</w:t>
      </w:r>
    </w:p>
    <w:p w14:paraId="17C67E68" w14:textId="2C48489E" w:rsidR="005B4284" w:rsidRDefault="005B4284" w:rsidP="005B4284">
      <w:r>
        <w:t xml:space="preserve">First we present an option that </w:t>
      </w:r>
      <w:r w:rsidR="001F6467">
        <w:t>utilizes</w:t>
      </w:r>
      <w:r>
        <w:t xml:space="preserve"> NR channel coding rate-matching to achieve partial slot full utilization, as shown in </w:t>
      </w:r>
      <w:r>
        <w:fldChar w:fldCharType="begin"/>
      </w:r>
      <w:r>
        <w:instrText xml:space="preserve"> REF _Ref528685221 \h </w:instrText>
      </w:r>
      <w:r>
        <w:fldChar w:fldCharType="separate"/>
      </w:r>
      <w:r>
        <w:t xml:space="preserve">Figure </w:t>
      </w:r>
      <w:r>
        <w:rPr>
          <w:noProof/>
        </w:rPr>
        <w:t>4</w:t>
      </w:r>
      <w:r>
        <w:fldChar w:fldCharType="end"/>
      </w:r>
      <w:r>
        <w:t>. This should not be confused with puncturing, even though it is effectively also implementing puncturing, the difference between the two being what information is punctured. This can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consider this option as borrowing bit positions from one end of the COT to pad out bit positions at the other end of the COT. In this option a TB for the partial slot is prepared assuming a full slot is available. The encoded code word is then rate-matched and mapped onto the partial slot. In the case of no slot aggregation, as shown at the beginning of the COT, the effective code rate will be higher than or equal to the MCS target code rate. If this effective code rate become too high, it might be better to consider aggregating this partial slot with the next full slot. Depending on the starting CR as defined by the MCS, one may be required to aggregate partial slots and full slots at both ends of the COT. 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The advantage of this option is that TB size selection and encoding into HARQ buffers need only be done once, however, constellation mapping and resource mapping will still need to be done on-the-fly. The other added advantage of this option is all TBs would be of near equal size, therefore rescheduling any of them would not require special treatment, unlike would be the case for any mini-slot re-transmission as described for Option 1.</w:t>
      </w:r>
    </w:p>
    <w:p w14:paraId="34EC1374" w14:textId="77777777" w:rsidR="005B4284" w:rsidRDefault="005B4284" w:rsidP="005B4284">
      <w:pPr>
        <w:keepNext/>
      </w:pPr>
      <w:r w:rsidRPr="00BF42C2">
        <w:rPr>
          <w:noProof/>
          <w:lang w:eastAsia="zh-TW"/>
        </w:rPr>
        <w:drawing>
          <wp:inline distT="0" distB="0" distL="0" distR="0" wp14:anchorId="6CB210AA" wp14:editId="06364CA9">
            <wp:extent cx="6475730" cy="1815621"/>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5730" cy="1815621"/>
                    </a:xfrm>
                    <a:prstGeom prst="rect">
                      <a:avLst/>
                    </a:prstGeom>
                    <a:noFill/>
                    <a:ln>
                      <a:noFill/>
                    </a:ln>
                  </pic:spPr>
                </pic:pic>
              </a:graphicData>
            </a:graphic>
          </wp:inline>
        </w:drawing>
      </w:r>
    </w:p>
    <w:p w14:paraId="5FB32168" w14:textId="77777777" w:rsidR="005B4284" w:rsidRDefault="005B4284" w:rsidP="005B4284">
      <w:pPr>
        <w:pStyle w:val="Caption"/>
        <w:jc w:val="center"/>
      </w:pPr>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r>
        <w:t xml:space="preserve"> Option 3 + Option 4: Full slot first, mini-slot next</w:t>
      </w:r>
    </w:p>
    <w:p w14:paraId="76156B91" w14:textId="652B3086" w:rsidR="005B4284" w:rsidRDefault="005B4284" w:rsidP="005B4284">
      <w:r>
        <w:t xml:space="preserve">Next we consider an option that always transmits one full slot first, directly after a successful LBT, followed by a Type-B mini-slot in the next slot to fill up any remaining partial slot. This can be considered a combination of Option 3 and Option 4 since a) it uses any length mini-slots b) it spans an initial slot boundary. Another way to </w:t>
      </w:r>
      <w:r w:rsidR="001F6467">
        <w:t>visualize</w:t>
      </w:r>
      <w:r>
        <w:t xml:space="preserve"> this would be to temporarily shift the frame timing (only from the perspective of the PDSCH) of the transmission only to re-align it in the subsequent frame. This has the benefit that the gNB needs to build the first full slot just once, in advance, and then has this entire full slot worth of time to build any desired partial slot, once the length becomes known after LBT success. This option alleviates any need for on-the-fly preparation of a slot or mini-slot to be transmitted, including that of constellation mapping and resource mapping.</w:t>
      </w:r>
    </w:p>
    <w:p w14:paraId="2ECCA33F" w14:textId="77777777" w:rsidR="005B4284" w:rsidRDefault="005B4284" w:rsidP="005B4284">
      <w:pPr>
        <w:keepNext/>
      </w:pPr>
      <w:r w:rsidRPr="00C96A29">
        <w:rPr>
          <w:noProof/>
          <w:lang w:eastAsia="zh-TW"/>
        </w:rPr>
        <w:lastRenderedPageBreak/>
        <w:drawing>
          <wp:inline distT="0" distB="0" distL="0" distR="0" wp14:anchorId="6C27AF75" wp14:editId="498300F5">
            <wp:extent cx="6475730" cy="181562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5730" cy="1815621"/>
                    </a:xfrm>
                    <a:prstGeom prst="rect">
                      <a:avLst/>
                    </a:prstGeom>
                    <a:noFill/>
                    <a:ln>
                      <a:noFill/>
                    </a:ln>
                  </pic:spPr>
                </pic:pic>
              </a:graphicData>
            </a:graphic>
          </wp:inline>
        </w:drawing>
      </w:r>
    </w:p>
    <w:p w14:paraId="7B9F6E3E" w14:textId="77777777" w:rsidR="005B4284" w:rsidRDefault="005B4284" w:rsidP="005B4284">
      <w:pPr>
        <w:pStyle w:val="Caption"/>
      </w:pPr>
      <w:bookmarkStart w:id="5" w:name="_Ref528848413"/>
      <w:r>
        <w:t xml:space="preserve">Figure </w:t>
      </w:r>
      <w:r>
        <w:rPr>
          <w:noProof/>
        </w:rPr>
        <w:fldChar w:fldCharType="begin"/>
      </w:r>
      <w:r>
        <w:rPr>
          <w:noProof/>
        </w:rPr>
        <w:instrText xml:space="preserve"> SEQ Figure \* ARABIC </w:instrText>
      </w:r>
      <w:r>
        <w:rPr>
          <w:noProof/>
        </w:rPr>
        <w:fldChar w:fldCharType="separate"/>
      </w:r>
      <w:r>
        <w:rPr>
          <w:noProof/>
        </w:rPr>
        <w:t>6</w:t>
      </w:r>
      <w:r>
        <w:rPr>
          <w:noProof/>
        </w:rPr>
        <w:fldChar w:fldCharType="end"/>
      </w:r>
      <w:bookmarkEnd w:id="5"/>
      <w:r>
        <w:t xml:space="preserve"> Option 1 + Option 2 + Option</w:t>
      </w:r>
      <w:r>
        <w:rPr>
          <w:noProof/>
        </w:rPr>
        <w:t xml:space="preserve"> 3 + Option 4: Full slot first, NR rate-matching next</w:t>
      </w:r>
    </w:p>
    <w:p w14:paraId="2E552FDE" w14:textId="77777777" w:rsidR="005B4284" w:rsidRDefault="005B4284" w:rsidP="005B4284">
      <w:r>
        <w:t xml:space="preserve">Lastly we consider the option of combining the two previous options discussed. This is shown in </w:t>
      </w:r>
      <w:r>
        <w:fldChar w:fldCharType="begin"/>
      </w:r>
      <w:r>
        <w:instrText xml:space="preserve"> REF _Ref528848413 \h </w:instrText>
      </w:r>
      <w:r>
        <w:fldChar w:fldCharType="separate"/>
      </w:r>
      <w:r>
        <w:t xml:space="preserve">Figure </w:t>
      </w:r>
      <w:r>
        <w:rPr>
          <w:noProof/>
        </w:rPr>
        <w:t>6</w:t>
      </w:r>
      <w:r>
        <w:fldChar w:fldCharType="end"/>
      </w:r>
      <w:r>
        <w:t xml:space="preserve">. First a full slot of transmission is prepared and mapped onto the channel as soon as LBT passes. This first full slot will in all but the slot aligned case, span a slot boundary. Next the remaining partial slot now in the second (full) slot of the COT is transmitted using NR channel-coding rate-matching. It is essentially the same as the option shown in </w:t>
      </w:r>
      <w:r>
        <w:fldChar w:fldCharType="begin"/>
      </w:r>
      <w:r>
        <w:instrText xml:space="preserve"> REF _Ref528685221 \h </w:instrText>
      </w:r>
      <w:r>
        <w:fldChar w:fldCharType="separate"/>
      </w:r>
      <w:r>
        <w:t xml:space="preserve">Figure </w:t>
      </w:r>
      <w:r>
        <w:rPr>
          <w:noProof/>
        </w:rPr>
        <w:t>4</w:t>
      </w:r>
      <w:r>
        <w:fldChar w:fldCharType="end"/>
      </w:r>
      <w:r>
        <w:t xml:space="preserve">, except the NR channel coding rate-matched partial slot is moved to after one full slot of transmission has occurred, i.e. we swap the position of the first full slot and the partial slot. It can also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again consider this option as borrowing bit positions from one end of the COT to pad out bit positions at the other end of the COT. In this option a TB for the partial slot, now in the second slot of the COT, is prepared assuming a full slot is available. The encoded code word is then rate-matched and mapped onto the partial slot. In the case of no slot aggregation, the effective code rate will be higher than or equal to the MCS target code rate. If this effective code rate become too high, it might be better to consider aggregating this partial slot with the next full slot. Depending on the starting CR as defined by the MCS, one may be required to aggregate partial and full slots at both ends of the COT. 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This option does, however, alleviate the concern with the option described in </w:t>
      </w:r>
      <w:r>
        <w:fldChar w:fldCharType="begin"/>
      </w:r>
      <w:r>
        <w:instrText xml:space="preserve"> REF _Ref528685221 \h </w:instrText>
      </w:r>
      <w:r>
        <w:fldChar w:fldCharType="separate"/>
      </w:r>
      <w:r>
        <w:t xml:space="preserve">Figure </w:t>
      </w:r>
      <w:r>
        <w:rPr>
          <w:noProof/>
        </w:rPr>
        <w:t>4</w:t>
      </w:r>
      <w:r>
        <w:fldChar w:fldCharType="end"/>
      </w:r>
      <w:r>
        <w:t xml:space="preserve"> where the gNB would still need to rebuild the OFDM symbol on-the-fly from constellation mapping onwards. Here there would no need to on-the-fly rebuild and an entire OFDM symbol can be prepared ahead of time before LBT outcomes are known, and then has this entire full slot worth of time to build any desired partial slot, once the length becomes known after LBT success.</w:t>
      </w:r>
    </w:p>
    <w:p w14:paraId="151A2E7E" w14:textId="07F07CB7" w:rsidR="005B4284" w:rsidRDefault="005B4284" w:rsidP="005B4284">
      <w:pPr>
        <w:rPr>
          <w:rFonts w:eastAsia="SimSun"/>
          <w:b/>
          <w:lang w:eastAsia="zh-CN"/>
        </w:rPr>
      </w:pPr>
      <w:r>
        <w:rPr>
          <w:rFonts w:eastAsia="SimSun"/>
          <w:b/>
          <w:lang w:eastAsia="zh-CN"/>
        </w:rPr>
        <w:t xml:space="preserve">Observation </w:t>
      </w:r>
      <w:r w:rsidR="008809DF">
        <w:rPr>
          <w:rFonts w:eastAsia="SimSun"/>
          <w:b/>
          <w:lang w:eastAsia="zh-CN"/>
        </w:rPr>
        <w:t>2</w:t>
      </w:r>
      <w:r>
        <w:rPr>
          <w:rFonts w:eastAsia="SimSun"/>
          <w:b/>
          <w:lang w:eastAsia="zh-CN"/>
        </w:rPr>
        <w:t>: NR rate-matching, slot aggregation and full slot first all help alleviate the concerns with Option 1, Option 2 and Option 3.</w:t>
      </w:r>
    </w:p>
    <w:p w14:paraId="28765F42" w14:textId="39E43A5B" w:rsidR="005B4284" w:rsidRDefault="005B4284" w:rsidP="005B4284">
      <w:pPr>
        <w:rPr>
          <w:rFonts w:eastAsia="SimSun"/>
          <w:b/>
          <w:lang w:eastAsia="zh-CN"/>
        </w:rPr>
      </w:pPr>
      <w:r>
        <w:rPr>
          <w:rFonts w:eastAsia="SimSun"/>
          <w:b/>
          <w:lang w:eastAsia="zh-CN"/>
        </w:rPr>
        <w:t xml:space="preserve">Observation </w:t>
      </w:r>
      <w:r w:rsidR="008809DF">
        <w:rPr>
          <w:rFonts w:eastAsia="SimSun"/>
          <w:b/>
          <w:lang w:eastAsia="zh-CN"/>
        </w:rPr>
        <w:t>3</w:t>
      </w:r>
      <w:r>
        <w:rPr>
          <w:rFonts w:eastAsia="SimSun"/>
          <w:b/>
          <w:lang w:eastAsia="zh-CN"/>
        </w:rPr>
        <w:t>: For the partial slot located at the beginning of a COT, it may be beneficial to consider slot aggregation (partial slot + the next full slot) when the number of symbols within this partial slot is relatively small.</w:t>
      </w:r>
    </w:p>
    <w:p w14:paraId="60312564" w14:textId="039F8BFB" w:rsidR="005B4284" w:rsidRDefault="005B4284" w:rsidP="005B4284">
      <w:pPr>
        <w:rPr>
          <w:rFonts w:eastAsia="SimSun"/>
          <w:lang w:eastAsia="zh-CN"/>
        </w:rPr>
      </w:pPr>
      <w:r>
        <w:rPr>
          <w:rFonts w:eastAsia="SimSun"/>
          <w:lang w:eastAsia="zh-CN"/>
        </w:rPr>
        <w:t xml:space="preserve">Below we present a table of all the options discussed above highlighting the disadvantages we observe with each presented option. Where the option applies to a single option from the agreement </w:t>
      </w:r>
      <w:r>
        <w:t xml:space="preserve">from </w:t>
      </w:r>
      <w:r>
        <w:fldChar w:fldCharType="begin"/>
      </w:r>
      <w:r>
        <w:instrText xml:space="preserve"> REF _Ref528834416 \r \h </w:instrText>
      </w:r>
      <w:r>
        <w:fldChar w:fldCharType="separate"/>
      </w:r>
      <w:r>
        <w:t>[2]</w:t>
      </w:r>
      <w:r>
        <w:fldChar w:fldCharType="end"/>
      </w:r>
      <w:r>
        <w:t xml:space="preserve">, this option is parenthesized in the title. It is worth highlighting in </w:t>
      </w:r>
      <w:r w:rsidRPr="00501509">
        <w:rPr>
          <w:highlight w:val="green"/>
        </w:rPr>
        <w:t>green</w:t>
      </w:r>
      <w:r>
        <w:t xml:space="preserve"> that on-the-fly transmission rebuild was </w:t>
      </w:r>
      <w:r>
        <w:rPr>
          <w:rFonts w:eastAsia="SimSun"/>
          <w:lang w:eastAsia="zh-CN"/>
        </w:rPr>
        <w:t xml:space="preserve">agreed in </w:t>
      </w:r>
      <w:r>
        <w:rPr>
          <w:rFonts w:eastAsia="SimSun"/>
          <w:lang w:eastAsia="zh-CN"/>
        </w:rPr>
        <w:fldChar w:fldCharType="begin"/>
      </w:r>
      <w:r>
        <w:rPr>
          <w:rFonts w:eastAsia="SimSun"/>
          <w:lang w:eastAsia="zh-CN"/>
        </w:rPr>
        <w:instrText xml:space="preserve"> REF _Ref528834416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as something to strive to avoid. If there is any opportunity to down-select then options that violate this should be the obvious candidates to eliminate first.</w:t>
      </w:r>
    </w:p>
    <w:p w14:paraId="4D50722D" w14:textId="77777777" w:rsidR="00DB33A7" w:rsidRPr="001876C9" w:rsidRDefault="00DB33A7" w:rsidP="00DB33A7">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partial slot allocation to a mini-slot for flexible TB to slot mapping using techniques such as NR rate matching and slot aggregation.</w:t>
      </w:r>
    </w:p>
    <w:p w14:paraId="22390676" w14:textId="77777777" w:rsidR="00DB33A7" w:rsidRDefault="00DB33A7" w:rsidP="00DB33A7">
      <w:pPr>
        <w:rPr>
          <w:rFonts w:eastAsia="SimSun"/>
          <w:b/>
          <w:lang w:eastAsia="zh-CN"/>
        </w:rPr>
      </w:pPr>
      <w:r>
        <w:rPr>
          <w:rFonts w:eastAsia="SimSun"/>
          <w:b/>
          <w:lang w:eastAsia="zh-CN"/>
        </w:rPr>
        <w:t>Proposal 2</w:t>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1133B864" w14:textId="0AD97B64" w:rsidR="00DB33A7" w:rsidRDefault="00DB33A7" w:rsidP="005B4284">
      <w:r>
        <w:rPr>
          <w:rFonts w:eastAsia="SimSun"/>
          <w:lang w:eastAsia="zh-CN"/>
        </w:rPr>
        <w:t xml:space="preserve">When considering LBT in conjunction with BWP and the unpredictable outcomes from LBT across multiple CAs, the same issues of possible TB rebuilding will apply and therefore need to be considered. TB construction will need to be flexible enough to account for possible CA loss within a BWP due to LBT failure. This is further exacerbated by the need to leave a guard band at the edge of every CA where LBT fails, implying further uncertainty in the ultimate size of a TB on initial transmission within a COT. This is discussed further in our companion submission </w:t>
      </w:r>
      <w:r>
        <w:rPr>
          <w:rFonts w:eastAsia="SimSun"/>
          <w:lang w:eastAsia="zh-CN"/>
        </w:rPr>
        <w:fldChar w:fldCharType="begin"/>
      </w:r>
      <w:r>
        <w:rPr>
          <w:rFonts w:eastAsia="SimSun"/>
          <w:lang w:eastAsia="zh-CN"/>
        </w:rPr>
        <w:instrText xml:space="preserve"> REF _Ref534896280 \n \h </w:instrText>
      </w:r>
      <w:r>
        <w:rPr>
          <w:rFonts w:eastAsia="SimSun"/>
          <w:lang w:eastAsia="zh-CN"/>
        </w:rPr>
      </w:r>
      <w:r>
        <w:rPr>
          <w:rFonts w:eastAsia="SimSun"/>
          <w:lang w:eastAsia="zh-CN"/>
        </w:rPr>
        <w:fldChar w:fldCharType="separate"/>
      </w:r>
      <w:r w:rsidR="0048534D">
        <w:rPr>
          <w:rFonts w:eastAsia="SimSun"/>
          <w:lang w:eastAsia="zh-CN"/>
        </w:rPr>
        <w:t>[3]</w:t>
      </w:r>
      <w:r>
        <w:rPr>
          <w:rFonts w:eastAsia="SimSun"/>
          <w:lang w:eastAsia="zh-CN"/>
        </w:rPr>
        <w:fldChar w:fldCharType="end"/>
      </w:r>
      <w:r w:rsidR="00E61E35">
        <w:rPr>
          <w:rFonts w:eastAsia="SimSun"/>
          <w:lang w:eastAsia="zh-CN"/>
        </w:rPr>
        <w:t>h</w:t>
      </w:r>
      <w:r>
        <w:rPr>
          <w:rFonts w:eastAsia="SimSun"/>
          <w:lang w:eastAsia="zh-CN"/>
        </w:rPr>
        <w:t>.</w:t>
      </w:r>
    </w:p>
    <w:p w14:paraId="548DA218" w14:textId="77777777" w:rsidR="00DB33A7" w:rsidRPr="00DB33A7" w:rsidRDefault="00DB33A7" w:rsidP="005B4284"/>
    <w:p w14:paraId="246E3565" w14:textId="77777777" w:rsidR="00DB33A7" w:rsidRPr="00501509" w:rsidRDefault="00DB33A7" w:rsidP="005B4284"/>
    <w:p w14:paraId="587452EE" w14:textId="77777777" w:rsidR="005B4284" w:rsidRDefault="005B4284" w:rsidP="005B4284">
      <w:pPr>
        <w:pStyle w:val="Caption"/>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Disadvantages of various options</w:t>
      </w:r>
    </w:p>
    <w:tbl>
      <w:tblPr>
        <w:tblStyle w:val="TableGrid"/>
        <w:tblW w:w="10885" w:type="dxa"/>
        <w:jc w:val="center"/>
        <w:tblLayout w:type="fixed"/>
        <w:tblLook w:val="04A0" w:firstRow="1" w:lastRow="0" w:firstColumn="1" w:lastColumn="0" w:noHBand="0" w:noVBand="1"/>
      </w:tblPr>
      <w:tblGrid>
        <w:gridCol w:w="1165"/>
        <w:gridCol w:w="1080"/>
        <w:gridCol w:w="1080"/>
        <w:gridCol w:w="1260"/>
        <w:gridCol w:w="990"/>
        <w:gridCol w:w="1080"/>
        <w:gridCol w:w="1170"/>
        <w:gridCol w:w="1080"/>
        <w:gridCol w:w="990"/>
        <w:gridCol w:w="990"/>
      </w:tblGrid>
      <w:tr w:rsidR="005B4284" w:rsidRPr="00B4322E" w14:paraId="757C8063" w14:textId="77777777" w:rsidTr="00A273BF">
        <w:trPr>
          <w:jc w:val="center"/>
        </w:trPr>
        <w:tc>
          <w:tcPr>
            <w:tcW w:w="1165" w:type="dxa"/>
            <w:vAlign w:val="center"/>
          </w:tcPr>
          <w:p w14:paraId="019E59FE" w14:textId="77777777" w:rsidR="005B4284" w:rsidRPr="00B4322E" w:rsidRDefault="005B4284" w:rsidP="00A273BF">
            <w:pPr>
              <w:jc w:val="center"/>
              <w:rPr>
                <w:b/>
              </w:rPr>
            </w:pPr>
            <w:r w:rsidRPr="00B4322E">
              <w:rPr>
                <w:b/>
              </w:rPr>
              <w:t>Option</w:t>
            </w:r>
          </w:p>
        </w:tc>
        <w:tc>
          <w:tcPr>
            <w:tcW w:w="1080" w:type="dxa"/>
            <w:vAlign w:val="center"/>
          </w:tcPr>
          <w:p w14:paraId="32EF1D79" w14:textId="77777777" w:rsidR="005B4284" w:rsidRPr="006A39C3" w:rsidRDefault="005B4284" w:rsidP="00A273BF">
            <w:pPr>
              <w:jc w:val="center"/>
              <w:rPr>
                <w:b/>
                <w:highlight w:val="green"/>
              </w:rPr>
            </w:pPr>
            <w:r w:rsidRPr="006A39C3">
              <w:rPr>
                <w:b/>
                <w:highlight w:val="green"/>
              </w:rPr>
              <w:t>Tx rebuild</w:t>
            </w:r>
          </w:p>
        </w:tc>
        <w:tc>
          <w:tcPr>
            <w:tcW w:w="1080" w:type="dxa"/>
            <w:vAlign w:val="center"/>
          </w:tcPr>
          <w:p w14:paraId="1A4A6747" w14:textId="77777777" w:rsidR="005B4284" w:rsidRPr="00B4322E" w:rsidRDefault="005B4284" w:rsidP="00A273BF">
            <w:pPr>
              <w:jc w:val="center"/>
              <w:rPr>
                <w:b/>
              </w:rPr>
            </w:pPr>
            <w:r w:rsidRPr="00B4322E">
              <w:rPr>
                <w:b/>
              </w:rPr>
              <w:t>HARQ re-Tx</w:t>
            </w:r>
            <w:r>
              <w:rPr>
                <w:b/>
              </w:rPr>
              <w:t xml:space="preserve"> in next COT</w:t>
            </w:r>
          </w:p>
        </w:tc>
        <w:tc>
          <w:tcPr>
            <w:tcW w:w="1260" w:type="dxa"/>
            <w:vAlign w:val="center"/>
          </w:tcPr>
          <w:p w14:paraId="3368D63D" w14:textId="77777777" w:rsidR="005B4284" w:rsidRPr="00B4322E" w:rsidRDefault="005B4284" w:rsidP="00A273BF">
            <w:pPr>
              <w:jc w:val="center"/>
              <w:rPr>
                <w:b/>
              </w:rPr>
            </w:pPr>
            <w:r>
              <w:rPr>
                <w:b/>
              </w:rPr>
              <w:t>Needs reservation signal</w:t>
            </w:r>
          </w:p>
        </w:tc>
        <w:tc>
          <w:tcPr>
            <w:tcW w:w="990" w:type="dxa"/>
            <w:vAlign w:val="center"/>
          </w:tcPr>
          <w:p w14:paraId="57EFB046" w14:textId="77777777" w:rsidR="005B4284" w:rsidRPr="00B4322E" w:rsidRDefault="005B4284" w:rsidP="00A273BF">
            <w:pPr>
              <w:jc w:val="center"/>
              <w:rPr>
                <w:b/>
              </w:rPr>
            </w:pPr>
            <w:r w:rsidRPr="00B4322E">
              <w:rPr>
                <w:b/>
              </w:rPr>
              <w:t>Mini-slot re-Tx</w:t>
            </w:r>
          </w:p>
        </w:tc>
        <w:tc>
          <w:tcPr>
            <w:tcW w:w="1080" w:type="dxa"/>
            <w:vAlign w:val="center"/>
          </w:tcPr>
          <w:p w14:paraId="214A41EA" w14:textId="77777777" w:rsidR="005B4284" w:rsidRDefault="005B4284" w:rsidP="00A273BF">
            <w:pPr>
              <w:jc w:val="center"/>
              <w:rPr>
                <w:b/>
              </w:rPr>
            </w:pPr>
            <w:r>
              <w:rPr>
                <w:b/>
              </w:rPr>
              <w:t>Higher PDCCH overhead</w:t>
            </w:r>
          </w:p>
        </w:tc>
        <w:tc>
          <w:tcPr>
            <w:tcW w:w="1170" w:type="dxa"/>
            <w:vAlign w:val="center"/>
          </w:tcPr>
          <w:p w14:paraId="38CF6CF3" w14:textId="77777777" w:rsidR="005B4284" w:rsidRPr="00B4322E" w:rsidRDefault="005B4284" w:rsidP="00A273BF">
            <w:pPr>
              <w:jc w:val="center"/>
              <w:rPr>
                <w:b/>
              </w:rPr>
            </w:pPr>
            <w:r>
              <w:rPr>
                <w:b/>
              </w:rPr>
              <w:t>Coding with diff LDPC BG</w:t>
            </w:r>
          </w:p>
        </w:tc>
        <w:tc>
          <w:tcPr>
            <w:tcW w:w="1080" w:type="dxa"/>
            <w:vAlign w:val="center"/>
          </w:tcPr>
          <w:p w14:paraId="08936FF0" w14:textId="77777777" w:rsidR="005B4284" w:rsidRPr="00B4322E" w:rsidRDefault="005B4284" w:rsidP="00A273BF">
            <w:pPr>
              <w:jc w:val="center"/>
              <w:rPr>
                <w:b/>
              </w:rPr>
            </w:pPr>
            <w:r>
              <w:rPr>
                <w:b/>
              </w:rPr>
              <w:t>CR won’t match MCS</w:t>
            </w:r>
          </w:p>
        </w:tc>
        <w:tc>
          <w:tcPr>
            <w:tcW w:w="990" w:type="dxa"/>
            <w:vAlign w:val="center"/>
          </w:tcPr>
          <w:p w14:paraId="1B39EC82" w14:textId="77777777" w:rsidR="005B4284" w:rsidRPr="00B4322E" w:rsidRDefault="005B4284" w:rsidP="00A273BF">
            <w:pPr>
              <w:jc w:val="center"/>
              <w:rPr>
                <w:b/>
              </w:rPr>
            </w:pPr>
            <w:r>
              <w:rPr>
                <w:b/>
              </w:rPr>
              <w:t>Lowered T-put</w:t>
            </w:r>
          </w:p>
        </w:tc>
        <w:tc>
          <w:tcPr>
            <w:tcW w:w="990" w:type="dxa"/>
            <w:vAlign w:val="center"/>
          </w:tcPr>
          <w:p w14:paraId="1832F20C" w14:textId="77777777" w:rsidR="005B4284" w:rsidRDefault="005B4284" w:rsidP="00A273BF">
            <w:pPr>
              <w:jc w:val="center"/>
              <w:rPr>
                <w:b/>
              </w:rPr>
            </w:pPr>
            <w:r>
              <w:rPr>
                <w:b/>
              </w:rPr>
              <w:t>Spec change</w:t>
            </w:r>
          </w:p>
        </w:tc>
      </w:tr>
      <w:tr w:rsidR="005B4284" w14:paraId="1D405AB0" w14:textId="77777777" w:rsidTr="00A273BF">
        <w:trPr>
          <w:jc w:val="center"/>
        </w:trPr>
        <w:tc>
          <w:tcPr>
            <w:tcW w:w="1165" w:type="dxa"/>
            <w:vAlign w:val="center"/>
          </w:tcPr>
          <w:p w14:paraId="4456417D" w14:textId="77777777" w:rsidR="005B4284" w:rsidRPr="00B4322E" w:rsidRDefault="005B4284" w:rsidP="00A273BF">
            <w:pPr>
              <w:jc w:val="center"/>
              <w:rPr>
                <w:b/>
              </w:rPr>
            </w:pPr>
            <w:r w:rsidRPr="00B4322E">
              <w:rPr>
                <w:b/>
              </w:rPr>
              <w:t>NR mini-slots</w:t>
            </w:r>
            <w:r>
              <w:rPr>
                <w:b/>
              </w:rPr>
              <w:t xml:space="preserve"> (1)</w:t>
            </w:r>
          </w:p>
        </w:tc>
        <w:tc>
          <w:tcPr>
            <w:tcW w:w="1080" w:type="dxa"/>
            <w:vAlign w:val="center"/>
          </w:tcPr>
          <w:p w14:paraId="3C1B2510" w14:textId="77777777" w:rsidR="005B4284" w:rsidRPr="006A39C3" w:rsidRDefault="005B4284" w:rsidP="00A273BF">
            <w:pPr>
              <w:jc w:val="center"/>
              <w:rPr>
                <w:highlight w:val="green"/>
              </w:rPr>
            </w:pPr>
            <w:r w:rsidRPr="006A39C3">
              <w:rPr>
                <w:highlight w:val="green"/>
              </w:rPr>
              <w:t>X</w:t>
            </w:r>
          </w:p>
        </w:tc>
        <w:tc>
          <w:tcPr>
            <w:tcW w:w="1080" w:type="dxa"/>
            <w:vAlign w:val="center"/>
          </w:tcPr>
          <w:p w14:paraId="7869A9AE" w14:textId="77777777" w:rsidR="005B4284" w:rsidRDefault="005B4284" w:rsidP="00A273BF">
            <w:pPr>
              <w:jc w:val="center"/>
            </w:pPr>
          </w:p>
        </w:tc>
        <w:tc>
          <w:tcPr>
            <w:tcW w:w="1260" w:type="dxa"/>
            <w:vAlign w:val="center"/>
          </w:tcPr>
          <w:p w14:paraId="089F745F" w14:textId="77777777" w:rsidR="005B4284" w:rsidRDefault="005B4284" w:rsidP="00A273BF">
            <w:pPr>
              <w:jc w:val="center"/>
            </w:pPr>
            <w:r>
              <w:t>X</w:t>
            </w:r>
          </w:p>
        </w:tc>
        <w:tc>
          <w:tcPr>
            <w:tcW w:w="990" w:type="dxa"/>
            <w:vAlign w:val="center"/>
          </w:tcPr>
          <w:p w14:paraId="6840133C" w14:textId="77777777" w:rsidR="005B4284" w:rsidRDefault="005B4284" w:rsidP="00A273BF">
            <w:pPr>
              <w:jc w:val="center"/>
            </w:pPr>
            <w:r>
              <w:t>X</w:t>
            </w:r>
          </w:p>
        </w:tc>
        <w:tc>
          <w:tcPr>
            <w:tcW w:w="1080" w:type="dxa"/>
            <w:vAlign w:val="center"/>
          </w:tcPr>
          <w:p w14:paraId="7D2EE3DF" w14:textId="77777777" w:rsidR="005B4284" w:rsidRDefault="005B4284" w:rsidP="00A273BF">
            <w:pPr>
              <w:jc w:val="center"/>
            </w:pPr>
            <w:r>
              <w:t>X</w:t>
            </w:r>
          </w:p>
        </w:tc>
        <w:tc>
          <w:tcPr>
            <w:tcW w:w="1170" w:type="dxa"/>
            <w:vAlign w:val="center"/>
          </w:tcPr>
          <w:p w14:paraId="0AE8E49E" w14:textId="77777777" w:rsidR="005B4284" w:rsidRDefault="005B4284" w:rsidP="00A273BF">
            <w:pPr>
              <w:jc w:val="center"/>
            </w:pPr>
            <w:r>
              <w:t>possible</w:t>
            </w:r>
          </w:p>
        </w:tc>
        <w:tc>
          <w:tcPr>
            <w:tcW w:w="1080" w:type="dxa"/>
            <w:vAlign w:val="center"/>
          </w:tcPr>
          <w:p w14:paraId="23972597" w14:textId="77777777" w:rsidR="005B4284" w:rsidRDefault="005B4284" w:rsidP="00A273BF">
            <w:pPr>
              <w:jc w:val="center"/>
            </w:pPr>
          </w:p>
        </w:tc>
        <w:tc>
          <w:tcPr>
            <w:tcW w:w="990" w:type="dxa"/>
            <w:vAlign w:val="center"/>
          </w:tcPr>
          <w:p w14:paraId="7889E16D" w14:textId="77777777" w:rsidR="005B4284" w:rsidRDefault="005B4284" w:rsidP="00A273BF">
            <w:pPr>
              <w:jc w:val="center"/>
            </w:pPr>
            <w:r>
              <w:t>X</w:t>
            </w:r>
          </w:p>
        </w:tc>
        <w:tc>
          <w:tcPr>
            <w:tcW w:w="990" w:type="dxa"/>
            <w:vAlign w:val="center"/>
          </w:tcPr>
          <w:p w14:paraId="5C9A0F0D" w14:textId="77777777" w:rsidR="005B4284" w:rsidRDefault="005B4284" w:rsidP="00A273BF">
            <w:pPr>
              <w:jc w:val="center"/>
            </w:pPr>
          </w:p>
        </w:tc>
      </w:tr>
      <w:tr w:rsidR="005B4284" w14:paraId="5DF23003" w14:textId="77777777" w:rsidTr="00A273BF">
        <w:trPr>
          <w:jc w:val="center"/>
        </w:trPr>
        <w:tc>
          <w:tcPr>
            <w:tcW w:w="1165" w:type="dxa"/>
            <w:vAlign w:val="center"/>
          </w:tcPr>
          <w:p w14:paraId="48E3DA2B" w14:textId="77777777" w:rsidR="005B4284" w:rsidRPr="00B4322E" w:rsidRDefault="005B4284" w:rsidP="00A273BF">
            <w:pPr>
              <w:jc w:val="center"/>
              <w:rPr>
                <w:b/>
              </w:rPr>
            </w:pPr>
            <w:r w:rsidRPr="00B4322E">
              <w:rPr>
                <w:b/>
              </w:rPr>
              <w:t>Puncture first</w:t>
            </w:r>
            <w:r>
              <w:rPr>
                <w:b/>
              </w:rPr>
              <w:t xml:space="preserve"> (2)</w:t>
            </w:r>
          </w:p>
        </w:tc>
        <w:tc>
          <w:tcPr>
            <w:tcW w:w="1080" w:type="dxa"/>
            <w:vAlign w:val="center"/>
          </w:tcPr>
          <w:p w14:paraId="6835815B" w14:textId="77777777" w:rsidR="005B4284" w:rsidRPr="006A39C3" w:rsidRDefault="005B4284" w:rsidP="00A273BF">
            <w:pPr>
              <w:jc w:val="center"/>
              <w:rPr>
                <w:highlight w:val="green"/>
              </w:rPr>
            </w:pPr>
          </w:p>
        </w:tc>
        <w:tc>
          <w:tcPr>
            <w:tcW w:w="1080" w:type="dxa"/>
            <w:vAlign w:val="center"/>
          </w:tcPr>
          <w:p w14:paraId="67B062D0" w14:textId="77777777" w:rsidR="005B4284" w:rsidRDefault="005B4284" w:rsidP="00A273BF">
            <w:pPr>
              <w:jc w:val="center"/>
            </w:pPr>
            <w:r>
              <w:t>X</w:t>
            </w:r>
          </w:p>
        </w:tc>
        <w:tc>
          <w:tcPr>
            <w:tcW w:w="1260" w:type="dxa"/>
            <w:vAlign w:val="center"/>
          </w:tcPr>
          <w:p w14:paraId="74CBAED5" w14:textId="77777777" w:rsidR="005B4284" w:rsidRDefault="005B4284" w:rsidP="00A273BF">
            <w:pPr>
              <w:jc w:val="center"/>
            </w:pPr>
          </w:p>
        </w:tc>
        <w:tc>
          <w:tcPr>
            <w:tcW w:w="990" w:type="dxa"/>
            <w:vAlign w:val="center"/>
          </w:tcPr>
          <w:p w14:paraId="44FF2973" w14:textId="77777777" w:rsidR="005B4284" w:rsidRDefault="005B4284" w:rsidP="00A273BF">
            <w:pPr>
              <w:jc w:val="center"/>
            </w:pPr>
          </w:p>
        </w:tc>
        <w:tc>
          <w:tcPr>
            <w:tcW w:w="1080" w:type="dxa"/>
            <w:vAlign w:val="center"/>
          </w:tcPr>
          <w:p w14:paraId="0BE5F53A" w14:textId="77777777" w:rsidR="005B4284" w:rsidRDefault="005B4284" w:rsidP="00A273BF">
            <w:pPr>
              <w:jc w:val="center"/>
            </w:pPr>
          </w:p>
        </w:tc>
        <w:tc>
          <w:tcPr>
            <w:tcW w:w="1170" w:type="dxa"/>
            <w:vAlign w:val="center"/>
          </w:tcPr>
          <w:p w14:paraId="0FFD5A63" w14:textId="77777777" w:rsidR="005B4284" w:rsidRDefault="005B4284" w:rsidP="00A273BF">
            <w:pPr>
              <w:jc w:val="center"/>
            </w:pPr>
          </w:p>
        </w:tc>
        <w:tc>
          <w:tcPr>
            <w:tcW w:w="1080" w:type="dxa"/>
            <w:vAlign w:val="center"/>
          </w:tcPr>
          <w:p w14:paraId="058130CE" w14:textId="77777777" w:rsidR="005B4284" w:rsidRDefault="005B4284" w:rsidP="00A273BF">
            <w:pPr>
              <w:jc w:val="center"/>
            </w:pPr>
          </w:p>
        </w:tc>
        <w:tc>
          <w:tcPr>
            <w:tcW w:w="990" w:type="dxa"/>
            <w:vAlign w:val="center"/>
          </w:tcPr>
          <w:p w14:paraId="483A0216" w14:textId="77777777" w:rsidR="005B4284" w:rsidRDefault="005B4284" w:rsidP="00A273BF">
            <w:pPr>
              <w:jc w:val="center"/>
            </w:pPr>
            <w:r>
              <w:t>X</w:t>
            </w:r>
          </w:p>
        </w:tc>
        <w:tc>
          <w:tcPr>
            <w:tcW w:w="990" w:type="dxa"/>
            <w:vAlign w:val="center"/>
          </w:tcPr>
          <w:p w14:paraId="746EE91F" w14:textId="77777777" w:rsidR="005B4284" w:rsidRDefault="005B4284" w:rsidP="00A273BF">
            <w:pPr>
              <w:jc w:val="center"/>
            </w:pPr>
            <w:r>
              <w:t>X</w:t>
            </w:r>
          </w:p>
        </w:tc>
      </w:tr>
      <w:tr w:rsidR="005B4284" w14:paraId="5BFE4C91" w14:textId="77777777" w:rsidTr="00A273BF">
        <w:trPr>
          <w:jc w:val="center"/>
        </w:trPr>
        <w:tc>
          <w:tcPr>
            <w:tcW w:w="1165" w:type="dxa"/>
            <w:vAlign w:val="center"/>
          </w:tcPr>
          <w:p w14:paraId="2F28D6B5" w14:textId="77777777" w:rsidR="005B4284" w:rsidRPr="00B4322E" w:rsidRDefault="005B4284" w:rsidP="00A273BF">
            <w:pPr>
              <w:jc w:val="center"/>
              <w:rPr>
                <w:b/>
              </w:rPr>
            </w:pPr>
            <w:r w:rsidRPr="00B4322E">
              <w:rPr>
                <w:b/>
              </w:rPr>
              <w:t>Puncture last</w:t>
            </w:r>
            <w:r>
              <w:rPr>
                <w:b/>
              </w:rPr>
              <w:t xml:space="preserve"> (2)</w:t>
            </w:r>
          </w:p>
        </w:tc>
        <w:tc>
          <w:tcPr>
            <w:tcW w:w="1080" w:type="dxa"/>
            <w:vAlign w:val="center"/>
          </w:tcPr>
          <w:p w14:paraId="4CC19BA5" w14:textId="77777777" w:rsidR="005B4284" w:rsidRPr="006A39C3" w:rsidRDefault="005B4284" w:rsidP="00A273BF">
            <w:pPr>
              <w:jc w:val="center"/>
              <w:rPr>
                <w:highlight w:val="green"/>
              </w:rPr>
            </w:pPr>
          </w:p>
        </w:tc>
        <w:tc>
          <w:tcPr>
            <w:tcW w:w="1080" w:type="dxa"/>
            <w:vAlign w:val="center"/>
          </w:tcPr>
          <w:p w14:paraId="3A7CE421" w14:textId="77777777" w:rsidR="005B4284" w:rsidRDefault="005B4284" w:rsidP="00A273BF">
            <w:pPr>
              <w:jc w:val="center"/>
            </w:pPr>
            <w:r>
              <w:t>X</w:t>
            </w:r>
          </w:p>
        </w:tc>
        <w:tc>
          <w:tcPr>
            <w:tcW w:w="1260" w:type="dxa"/>
            <w:vAlign w:val="center"/>
          </w:tcPr>
          <w:p w14:paraId="6448A200" w14:textId="77777777" w:rsidR="005B4284" w:rsidRDefault="005B4284" w:rsidP="00A273BF">
            <w:pPr>
              <w:jc w:val="center"/>
            </w:pPr>
          </w:p>
        </w:tc>
        <w:tc>
          <w:tcPr>
            <w:tcW w:w="990" w:type="dxa"/>
            <w:vAlign w:val="center"/>
          </w:tcPr>
          <w:p w14:paraId="517BB5F0" w14:textId="77777777" w:rsidR="005B4284" w:rsidRDefault="005B4284" w:rsidP="00A273BF">
            <w:pPr>
              <w:jc w:val="center"/>
            </w:pPr>
          </w:p>
        </w:tc>
        <w:tc>
          <w:tcPr>
            <w:tcW w:w="1080" w:type="dxa"/>
            <w:vAlign w:val="center"/>
          </w:tcPr>
          <w:p w14:paraId="11FF8D29" w14:textId="77777777" w:rsidR="005B4284" w:rsidRDefault="005B4284" w:rsidP="00A273BF">
            <w:pPr>
              <w:jc w:val="center"/>
            </w:pPr>
          </w:p>
        </w:tc>
        <w:tc>
          <w:tcPr>
            <w:tcW w:w="1170" w:type="dxa"/>
            <w:vAlign w:val="center"/>
          </w:tcPr>
          <w:p w14:paraId="13D710A0" w14:textId="77777777" w:rsidR="005B4284" w:rsidRDefault="005B4284" w:rsidP="00A273BF">
            <w:pPr>
              <w:jc w:val="center"/>
            </w:pPr>
          </w:p>
        </w:tc>
        <w:tc>
          <w:tcPr>
            <w:tcW w:w="1080" w:type="dxa"/>
            <w:vAlign w:val="center"/>
          </w:tcPr>
          <w:p w14:paraId="3CA57C7A" w14:textId="77777777" w:rsidR="005B4284" w:rsidRDefault="005B4284" w:rsidP="00A273BF">
            <w:pPr>
              <w:jc w:val="center"/>
            </w:pPr>
          </w:p>
        </w:tc>
        <w:tc>
          <w:tcPr>
            <w:tcW w:w="990" w:type="dxa"/>
            <w:vAlign w:val="center"/>
          </w:tcPr>
          <w:p w14:paraId="33A5308F" w14:textId="77777777" w:rsidR="005B4284" w:rsidRDefault="005B4284" w:rsidP="00A273BF">
            <w:pPr>
              <w:jc w:val="center"/>
            </w:pPr>
            <w:r>
              <w:t>X</w:t>
            </w:r>
          </w:p>
        </w:tc>
        <w:tc>
          <w:tcPr>
            <w:tcW w:w="990" w:type="dxa"/>
            <w:vAlign w:val="center"/>
          </w:tcPr>
          <w:p w14:paraId="6344A86D" w14:textId="77777777" w:rsidR="005B4284" w:rsidRDefault="005B4284" w:rsidP="00A273BF">
            <w:pPr>
              <w:jc w:val="center"/>
            </w:pPr>
            <w:r>
              <w:t>X</w:t>
            </w:r>
          </w:p>
        </w:tc>
      </w:tr>
      <w:tr w:rsidR="005B4284" w14:paraId="3DD13A15" w14:textId="77777777" w:rsidTr="00A273BF">
        <w:trPr>
          <w:jc w:val="center"/>
        </w:trPr>
        <w:tc>
          <w:tcPr>
            <w:tcW w:w="1165" w:type="dxa"/>
            <w:vAlign w:val="center"/>
          </w:tcPr>
          <w:p w14:paraId="45CC30E4" w14:textId="77777777" w:rsidR="005B4284" w:rsidRPr="00B4322E" w:rsidRDefault="005B4284" w:rsidP="00A273BF">
            <w:pPr>
              <w:jc w:val="center"/>
              <w:rPr>
                <w:b/>
              </w:rPr>
            </w:pPr>
            <w:r>
              <w:rPr>
                <w:b/>
              </w:rPr>
              <w:t>(3) More mini-slots</w:t>
            </w:r>
          </w:p>
        </w:tc>
        <w:tc>
          <w:tcPr>
            <w:tcW w:w="1080" w:type="dxa"/>
            <w:vAlign w:val="center"/>
          </w:tcPr>
          <w:p w14:paraId="457C68FA" w14:textId="77777777" w:rsidR="005B4284" w:rsidRPr="006A39C3" w:rsidRDefault="005B4284" w:rsidP="00A273BF">
            <w:pPr>
              <w:jc w:val="center"/>
              <w:rPr>
                <w:highlight w:val="green"/>
              </w:rPr>
            </w:pPr>
            <w:r w:rsidRPr="006A39C3">
              <w:rPr>
                <w:highlight w:val="green"/>
              </w:rPr>
              <w:t>X</w:t>
            </w:r>
          </w:p>
        </w:tc>
        <w:tc>
          <w:tcPr>
            <w:tcW w:w="1080" w:type="dxa"/>
            <w:vAlign w:val="center"/>
          </w:tcPr>
          <w:p w14:paraId="50D429F8" w14:textId="77777777" w:rsidR="005B4284" w:rsidRDefault="005B4284" w:rsidP="00A273BF">
            <w:pPr>
              <w:jc w:val="center"/>
            </w:pPr>
          </w:p>
        </w:tc>
        <w:tc>
          <w:tcPr>
            <w:tcW w:w="1260" w:type="dxa"/>
            <w:vAlign w:val="center"/>
          </w:tcPr>
          <w:p w14:paraId="765ADF30" w14:textId="77777777" w:rsidR="005B4284" w:rsidRDefault="005B4284" w:rsidP="00A273BF">
            <w:pPr>
              <w:jc w:val="center"/>
            </w:pPr>
          </w:p>
        </w:tc>
        <w:tc>
          <w:tcPr>
            <w:tcW w:w="990" w:type="dxa"/>
            <w:vAlign w:val="center"/>
          </w:tcPr>
          <w:p w14:paraId="17313B50" w14:textId="77777777" w:rsidR="005B4284" w:rsidRDefault="005B4284" w:rsidP="00A273BF">
            <w:pPr>
              <w:jc w:val="center"/>
            </w:pPr>
            <w:r>
              <w:t>X</w:t>
            </w:r>
          </w:p>
        </w:tc>
        <w:tc>
          <w:tcPr>
            <w:tcW w:w="1080" w:type="dxa"/>
            <w:vAlign w:val="center"/>
          </w:tcPr>
          <w:p w14:paraId="56BD1DBD" w14:textId="77777777" w:rsidR="005B4284" w:rsidRDefault="005B4284" w:rsidP="00A273BF">
            <w:pPr>
              <w:jc w:val="center"/>
            </w:pPr>
          </w:p>
        </w:tc>
        <w:tc>
          <w:tcPr>
            <w:tcW w:w="1170" w:type="dxa"/>
            <w:vAlign w:val="center"/>
          </w:tcPr>
          <w:p w14:paraId="302AC5E9" w14:textId="77777777" w:rsidR="005B4284" w:rsidRDefault="005B4284" w:rsidP="00A273BF">
            <w:pPr>
              <w:jc w:val="center"/>
            </w:pPr>
            <w:r>
              <w:t>possible</w:t>
            </w:r>
          </w:p>
        </w:tc>
        <w:tc>
          <w:tcPr>
            <w:tcW w:w="1080" w:type="dxa"/>
            <w:vAlign w:val="center"/>
          </w:tcPr>
          <w:p w14:paraId="73F744D9" w14:textId="77777777" w:rsidR="005B4284" w:rsidRDefault="005B4284" w:rsidP="00A273BF">
            <w:pPr>
              <w:jc w:val="center"/>
            </w:pPr>
          </w:p>
        </w:tc>
        <w:tc>
          <w:tcPr>
            <w:tcW w:w="990" w:type="dxa"/>
            <w:vAlign w:val="center"/>
          </w:tcPr>
          <w:p w14:paraId="7019246D" w14:textId="77777777" w:rsidR="005B4284" w:rsidRDefault="005B4284" w:rsidP="00A273BF">
            <w:pPr>
              <w:jc w:val="center"/>
            </w:pPr>
          </w:p>
        </w:tc>
        <w:tc>
          <w:tcPr>
            <w:tcW w:w="990" w:type="dxa"/>
            <w:vAlign w:val="center"/>
          </w:tcPr>
          <w:p w14:paraId="0F976382" w14:textId="77777777" w:rsidR="005B4284" w:rsidRDefault="005B4284" w:rsidP="00A273BF">
            <w:pPr>
              <w:jc w:val="center"/>
            </w:pPr>
            <w:r>
              <w:t>X</w:t>
            </w:r>
          </w:p>
        </w:tc>
      </w:tr>
      <w:tr w:rsidR="005B4284" w14:paraId="085B87C4" w14:textId="77777777" w:rsidTr="00A273BF">
        <w:trPr>
          <w:jc w:val="center"/>
        </w:trPr>
        <w:tc>
          <w:tcPr>
            <w:tcW w:w="1165" w:type="dxa"/>
            <w:vAlign w:val="center"/>
          </w:tcPr>
          <w:p w14:paraId="1EAE18E3" w14:textId="77777777" w:rsidR="005B4284" w:rsidRPr="00B4322E" w:rsidRDefault="005B4284" w:rsidP="00A273BF">
            <w:pPr>
              <w:jc w:val="center"/>
              <w:rPr>
                <w:b/>
              </w:rPr>
            </w:pPr>
            <w:r w:rsidRPr="00B4322E">
              <w:rPr>
                <w:b/>
              </w:rPr>
              <w:t>NR rate match</w:t>
            </w:r>
          </w:p>
        </w:tc>
        <w:tc>
          <w:tcPr>
            <w:tcW w:w="1080" w:type="dxa"/>
            <w:vAlign w:val="center"/>
          </w:tcPr>
          <w:p w14:paraId="17FD8D77" w14:textId="77777777" w:rsidR="005B4284" w:rsidRPr="004E4AE8" w:rsidRDefault="005B4284" w:rsidP="00A273BF">
            <w:pPr>
              <w:jc w:val="center"/>
              <w:rPr>
                <w:sz w:val="16"/>
                <w:szCs w:val="16"/>
                <w:highlight w:val="green"/>
              </w:rPr>
            </w:pPr>
            <w:r w:rsidRPr="004E4AE8">
              <w:rPr>
                <w:sz w:val="16"/>
                <w:szCs w:val="16"/>
                <w:highlight w:val="green"/>
              </w:rPr>
              <w:t>Constellation map onwards</w:t>
            </w:r>
          </w:p>
        </w:tc>
        <w:tc>
          <w:tcPr>
            <w:tcW w:w="1080" w:type="dxa"/>
            <w:vAlign w:val="center"/>
          </w:tcPr>
          <w:p w14:paraId="7528CF44" w14:textId="77777777" w:rsidR="005B4284" w:rsidRDefault="005B4284" w:rsidP="00A273BF">
            <w:pPr>
              <w:jc w:val="center"/>
            </w:pPr>
          </w:p>
        </w:tc>
        <w:tc>
          <w:tcPr>
            <w:tcW w:w="1260" w:type="dxa"/>
            <w:vAlign w:val="center"/>
          </w:tcPr>
          <w:p w14:paraId="39A45705" w14:textId="77777777" w:rsidR="005B4284" w:rsidRDefault="005B4284" w:rsidP="00A273BF">
            <w:pPr>
              <w:jc w:val="center"/>
            </w:pPr>
          </w:p>
        </w:tc>
        <w:tc>
          <w:tcPr>
            <w:tcW w:w="990" w:type="dxa"/>
            <w:vAlign w:val="center"/>
          </w:tcPr>
          <w:p w14:paraId="70AB2345" w14:textId="77777777" w:rsidR="005B4284" w:rsidRDefault="005B4284" w:rsidP="00A273BF">
            <w:pPr>
              <w:jc w:val="center"/>
            </w:pPr>
          </w:p>
        </w:tc>
        <w:tc>
          <w:tcPr>
            <w:tcW w:w="1080" w:type="dxa"/>
            <w:vAlign w:val="center"/>
          </w:tcPr>
          <w:p w14:paraId="707500B4" w14:textId="77777777" w:rsidR="005B4284" w:rsidRDefault="005B4284" w:rsidP="00A273BF">
            <w:pPr>
              <w:jc w:val="center"/>
            </w:pPr>
          </w:p>
        </w:tc>
        <w:tc>
          <w:tcPr>
            <w:tcW w:w="1170" w:type="dxa"/>
            <w:vAlign w:val="center"/>
          </w:tcPr>
          <w:p w14:paraId="53A8F64C" w14:textId="77777777" w:rsidR="005B4284" w:rsidRDefault="005B4284" w:rsidP="00A273BF">
            <w:pPr>
              <w:jc w:val="center"/>
            </w:pPr>
          </w:p>
        </w:tc>
        <w:tc>
          <w:tcPr>
            <w:tcW w:w="1080" w:type="dxa"/>
            <w:vAlign w:val="center"/>
          </w:tcPr>
          <w:p w14:paraId="13FD93A9" w14:textId="77777777" w:rsidR="005B4284" w:rsidRDefault="005B4284" w:rsidP="00A273BF">
            <w:pPr>
              <w:jc w:val="center"/>
            </w:pPr>
            <w:r>
              <w:t>X</w:t>
            </w:r>
          </w:p>
        </w:tc>
        <w:tc>
          <w:tcPr>
            <w:tcW w:w="990" w:type="dxa"/>
            <w:vAlign w:val="center"/>
          </w:tcPr>
          <w:p w14:paraId="021669E7" w14:textId="77777777" w:rsidR="005B4284" w:rsidRDefault="005B4284" w:rsidP="00A273BF">
            <w:pPr>
              <w:jc w:val="center"/>
            </w:pPr>
          </w:p>
        </w:tc>
        <w:tc>
          <w:tcPr>
            <w:tcW w:w="990" w:type="dxa"/>
            <w:vAlign w:val="center"/>
          </w:tcPr>
          <w:p w14:paraId="30E97C8A" w14:textId="77777777" w:rsidR="005B4284" w:rsidRDefault="005B4284" w:rsidP="00A273BF">
            <w:pPr>
              <w:jc w:val="center"/>
            </w:pPr>
            <w:r>
              <w:t>X</w:t>
            </w:r>
          </w:p>
        </w:tc>
      </w:tr>
      <w:tr w:rsidR="005B4284" w14:paraId="21C10D79" w14:textId="77777777" w:rsidTr="00A273BF">
        <w:trPr>
          <w:jc w:val="center"/>
        </w:trPr>
        <w:tc>
          <w:tcPr>
            <w:tcW w:w="1165" w:type="dxa"/>
            <w:vAlign w:val="center"/>
          </w:tcPr>
          <w:p w14:paraId="3A741536" w14:textId="77777777" w:rsidR="005B4284" w:rsidRPr="00B4322E" w:rsidRDefault="005B4284" w:rsidP="00A273BF">
            <w:pPr>
              <w:jc w:val="center"/>
              <w:rPr>
                <w:b/>
              </w:rPr>
            </w:pPr>
            <w:r w:rsidRPr="00B4322E">
              <w:rPr>
                <w:b/>
              </w:rPr>
              <w:t>Full slot first</w:t>
            </w:r>
            <w:r>
              <w:rPr>
                <w:b/>
              </w:rPr>
              <w:t>, mini</w:t>
            </w:r>
          </w:p>
        </w:tc>
        <w:tc>
          <w:tcPr>
            <w:tcW w:w="1080" w:type="dxa"/>
            <w:vAlign w:val="center"/>
          </w:tcPr>
          <w:p w14:paraId="125E9C80" w14:textId="77777777" w:rsidR="005B4284" w:rsidRPr="006A39C3" w:rsidRDefault="005B4284" w:rsidP="00A273BF">
            <w:pPr>
              <w:jc w:val="center"/>
              <w:rPr>
                <w:highlight w:val="green"/>
              </w:rPr>
            </w:pPr>
          </w:p>
        </w:tc>
        <w:tc>
          <w:tcPr>
            <w:tcW w:w="1080" w:type="dxa"/>
            <w:vAlign w:val="center"/>
          </w:tcPr>
          <w:p w14:paraId="52A692D8" w14:textId="77777777" w:rsidR="005B4284" w:rsidRDefault="005B4284" w:rsidP="00A273BF">
            <w:pPr>
              <w:jc w:val="center"/>
            </w:pPr>
          </w:p>
        </w:tc>
        <w:tc>
          <w:tcPr>
            <w:tcW w:w="1260" w:type="dxa"/>
            <w:vAlign w:val="center"/>
          </w:tcPr>
          <w:p w14:paraId="5B5C5916" w14:textId="77777777" w:rsidR="005B4284" w:rsidRDefault="005B4284" w:rsidP="00A273BF">
            <w:pPr>
              <w:jc w:val="center"/>
            </w:pPr>
          </w:p>
        </w:tc>
        <w:tc>
          <w:tcPr>
            <w:tcW w:w="990" w:type="dxa"/>
            <w:vAlign w:val="center"/>
          </w:tcPr>
          <w:p w14:paraId="00D27B0F" w14:textId="77777777" w:rsidR="005B4284" w:rsidRDefault="005B4284" w:rsidP="00A273BF">
            <w:pPr>
              <w:jc w:val="center"/>
            </w:pPr>
            <w:r>
              <w:t>X</w:t>
            </w:r>
          </w:p>
        </w:tc>
        <w:tc>
          <w:tcPr>
            <w:tcW w:w="1080" w:type="dxa"/>
            <w:vAlign w:val="center"/>
          </w:tcPr>
          <w:p w14:paraId="25C7AEAA" w14:textId="77777777" w:rsidR="005B4284" w:rsidRDefault="005B4284" w:rsidP="00A273BF">
            <w:pPr>
              <w:jc w:val="center"/>
            </w:pPr>
          </w:p>
        </w:tc>
        <w:tc>
          <w:tcPr>
            <w:tcW w:w="1170" w:type="dxa"/>
            <w:vAlign w:val="center"/>
          </w:tcPr>
          <w:p w14:paraId="78847CC8" w14:textId="77777777" w:rsidR="005B4284" w:rsidRDefault="005B4284" w:rsidP="00A273BF">
            <w:pPr>
              <w:jc w:val="center"/>
            </w:pPr>
            <w:r>
              <w:t>possible</w:t>
            </w:r>
          </w:p>
        </w:tc>
        <w:tc>
          <w:tcPr>
            <w:tcW w:w="1080" w:type="dxa"/>
            <w:vAlign w:val="center"/>
          </w:tcPr>
          <w:p w14:paraId="0DB405E0" w14:textId="77777777" w:rsidR="005B4284" w:rsidRDefault="005B4284" w:rsidP="00A273BF">
            <w:pPr>
              <w:jc w:val="center"/>
            </w:pPr>
          </w:p>
        </w:tc>
        <w:tc>
          <w:tcPr>
            <w:tcW w:w="990" w:type="dxa"/>
            <w:vAlign w:val="center"/>
          </w:tcPr>
          <w:p w14:paraId="4E520BF6" w14:textId="77777777" w:rsidR="005B4284" w:rsidRDefault="005B4284" w:rsidP="00A273BF">
            <w:pPr>
              <w:jc w:val="center"/>
            </w:pPr>
          </w:p>
        </w:tc>
        <w:tc>
          <w:tcPr>
            <w:tcW w:w="990" w:type="dxa"/>
            <w:vAlign w:val="center"/>
          </w:tcPr>
          <w:p w14:paraId="3CA1AEF0" w14:textId="77777777" w:rsidR="005B4284" w:rsidRDefault="005B4284" w:rsidP="00A273BF">
            <w:pPr>
              <w:jc w:val="center"/>
            </w:pPr>
            <w:r>
              <w:t>X</w:t>
            </w:r>
          </w:p>
        </w:tc>
      </w:tr>
      <w:tr w:rsidR="005B4284" w14:paraId="02C2CB83" w14:textId="77777777" w:rsidTr="00A273BF">
        <w:trPr>
          <w:jc w:val="center"/>
        </w:trPr>
        <w:tc>
          <w:tcPr>
            <w:tcW w:w="1165" w:type="dxa"/>
            <w:vAlign w:val="center"/>
          </w:tcPr>
          <w:p w14:paraId="062E9E19" w14:textId="77777777" w:rsidR="005B4284" w:rsidRPr="00B4322E" w:rsidRDefault="005B4284" w:rsidP="00A273BF">
            <w:pPr>
              <w:jc w:val="center"/>
              <w:rPr>
                <w:b/>
              </w:rPr>
            </w:pPr>
            <w:r>
              <w:rPr>
                <w:b/>
              </w:rPr>
              <w:t>Full slot first, RM</w:t>
            </w:r>
          </w:p>
        </w:tc>
        <w:tc>
          <w:tcPr>
            <w:tcW w:w="1080" w:type="dxa"/>
            <w:vAlign w:val="center"/>
          </w:tcPr>
          <w:p w14:paraId="4573CEF8" w14:textId="77777777" w:rsidR="005B4284" w:rsidRPr="006A39C3" w:rsidRDefault="005B4284" w:rsidP="00A273BF">
            <w:pPr>
              <w:jc w:val="center"/>
              <w:rPr>
                <w:highlight w:val="green"/>
              </w:rPr>
            </w:pPr>
          </w:p>
        </w:tc>
        <w:tc>
          <w:tcPr>
            <w:tcW w:w="1080" w:type="dxa"/>
            <w:vAlign w:val="center"/>
          </w:tcPr>
          <w:p w14:paraId="06D7C82E" w14:textId="77777777" w:rsidR="005B4284" w:rsidRDefault="005B4284" w:rsidP="00A273BF">
            <w:pPr>
              <w:jc w:val="center"/>
            </w:pPr>
          </w:p>
        </w:tc>
        <w:tc>
          <w:tcPr>
            <w:tcW w:w="1260" w:type="dxa"/>
            <w:vAlign w:val="center"/>
          </w:tcPr>
          <w:p w14:paraId="1F273626" w14:textId="77777777" w:rsidR="005B4284" w:rsidRDefault="005B4284" w:rsidP="00A273BF">
            <w:pPr>
              <w:jc w:val="center"/>
            </w:pPr>
          </w:p>
        </w:tc>
        <w:tc>
          <w:tcPr>
            <w:tcW w:w="990" w:type="dxa"/>
            <w:vAlign w:val="center"/>
          </w:tcPr>
          <w:p w14:paraId="3E551470" w14:textId="77777777" w:rsidR="005B4284" w:rsidRDefault="005B4284" w:rsidP="00A273BF">
            <w:pPr>
              <w:jc w:val="center"/>
            </w:pPr>
          </w:p>
        </w:tc>
        <w:tc>
          <w:tcPr>
            <w:tcW w:w="1080" w:type="dxa"/>
            <w:vAlign w:val="center"/>
          </w:tcPr>
          <w:p w14:paraId="60FDF536" w14:textId="77777777" w:rsidR="005B4284" w:rsidRDefault="005B4284" w:rsidP="00A273BF">
            <w:pPr>
              <w:jc w:val="center"/>
            </w:pPr>
          </w:p>
        </w:tc>
        <w:tc>
          <w:tcPr>
            <w:tcW w:w="1170" w:type="dxa"/>
            <w:vAlign w:val="center"/>
          </w:tcPr>
          <w:p w14:paraId="09B5015F" w14:textId="77777777" w:rsidR="005B4284" w:rsidRDefault="005B4284" w:rsidP="00A273BF">
            <w:pPr>
              <w:jc w:val="center"/>
            </w:pPr>
          </w:p>
        </w:tc>
        <w:tc>
          <w:tcPr>
            <w:tcW w:w="1080" w:type="dxa"/>
            <w:vAlign w:val="center"/>
          </w:tcPr>
          <w:p w14:paraId="00024A72" w14:textId="77777777" w:rsidR="005B4284" w:rsidRDefault="005B4284" w:rsidP="00A273BF">
            <w:pPr>
              <w:jc w:val="center"/>
            </w:pPr>
            <w:r>
              <w:t>X</w:t>
            </w:r>
          </w:p>
        </w:tc>
        <w:tc>
          <w:tcPr>
            <w:tcW w:w="990" w:type="dxa"/>
            <w:vAlign w:val="center"/>
          </w:tcPr>
          <w:p w14:paraId="72EE9BFA" w14:textId="77777777" w:rsidR="005B4284" w:rsidRDefault="005B4284" w:rsidP="00A273BF">
            <w:pPr>
              <w:jc w:val="center"/>
            </w:pPr>
          </w:p>
        </w:tc>
        <w:tc>
          <w:tcPr>
            <w:tcW w:w="990" w:type="dxa"/>
            <w:vAlign w:val="center"/>
          </w:tcPr>
          <w:p w14:paraId="46E2B83D" w14:textId="77777777" w:rsidR="005B4284" w:rsidRDefault="005B4284" w:rsidP="00A273BF">
            <w:pPr>
              <w:jc w:val="center"/>
            </w:pPr>
            <w:r>
              <w:t>X</w:t>
            </w:r>
          </w:p>
        </w:tc>
      </w:tr>
    </w:tbl>
    <w:p w14:paraId="043EB73B" w14:textId="77777777" w:rsidR="005B4284" w:rsidRPr="00D40D66" w:rsidRDefault="005B4284" w:rsidP="00D40D66">
      <w:pPr>
        <w:spacing w:after="0"/>
        <w:jc w:val="both"/>
        <w:rPr>
          <w:b/>
          <w:lang w:val="en-GB"/>
        </w:rPr>
      </w:pPr>
      <w:bookmarkStart w:id="6" w:name="_GoBack"/>
      <w:bookmarkEnd w:id="6"/>
    </w:p>
    <w:p w14:paraId="591DD095" w14:textId="2DB34276" w:rsidR="00D40D66" w:rsidRPr="00707323" w:rsidRDefault="00D40D66" w:rsidP="00D40D66">
      <w:pPr>
        <w:pStyle w:val="Heading1"/>
        <w:numPr>
          <w:ilvl w:val="0"/>
          <w:numId w:val="5"/>
        </w:numPr>
        <w:spacing w:after="120"/>
        <w:ind w:right="288"/>
        <w:rPr>
          <w:color w:val="000000" w:themeColor="text1"/>
        </w:rPr>
      </w:pPr>
      <w:r>
        <w:rPr>
          <w:lang w:eastAsia="zh-CN"/>
        </w:rPr>
        <w:t>PDCCH Monitoring for NR-U Operation</w:t>
      </w:r>
    </w:p>
    <w:p w14:paraId="2E1AEF51" w14:textId="3CBC8846" w:rsidR="00BD05A1" w:rsidRPr="00BD05A1" w:rsidRDefault="00773575" w:rsidP="00BD05A1">
      <w:pPr>
        <w:jc w:val="both"/>
        <w:rPr>
          <w:color w:val="000000" w:themeColor="text1"/>
        </w:rPr>
      </w:pPr>
      <w:r w:rsidRPr="00773575">
        <w:rPr>
          <w:color w:val="000000" w:themeColor="text1"/>
        </w:rPr>
        <w:t>In order to support flexible transmission starting point of the PDSCH</w:t>
      </w:r>
      <w:r>
        <w:rPr>
          <w:color w:val="000000" w:themeColor="text1"/>
        </w:rPr>
        <w:t xml:space="preserve"> as described in the previous section</w:t>
      </w:r>
      <w:r w:rsidRPr="00773575">
        <w:rPr>
          <w:color w:val="000000" w:themeColor="text1"/>
        </w:rPr>
        <w:t xml:space="preserve">, the corresponding PDCCH </w:t>
      </w:r>
      <w:r w:rsidR="00BD05A1">
        <w:rPr>
          <w:color w:val="000000" w:themeColor="text1"/>
        </w:rPr>
        <w:t>monitoring</w:t>
      </w:r>
      <w:r w:rsidRPr="00773575">
        <w:rPr>
          <w:color w:val="000000" w:themeColor="text1"/>
        </w:rPr>
        <w:t xml:space="preserve"> </w:t>
      </w:r>
      <w:r w:rsidR="00BD05A1">
        <w:rPr>
          <w:color w:val="000000" w:themeColor="text1"/>
        </w:rPr>
        <w:t xml:space="preserve">procedure </w:t>
      </w:r>
      <w:r w:rsidRPr="00773575">
        <w:rPr>
          <w:color w:val="000000" w:themeColor="text1"/>
        </w:rPr>
        <w:t xml:space="preserve">also needs to be modified accordingly. </w:t>
      </w:r>
      <w:r w:rsidR="00BD05A1">
        <w:rPr>
          <w:color w:val="000000" w:themeColor="text1"/>
        </w:rPr>
        <w:t>Specifically</w:t>
      </w:r>
      <w:r w:rsidRPr="00773575">
        <w:rPr>
          <w:color w:val="000000" w:themeColor="text1"/>
        </w:rPr>
        <w:t xml:space="preserve">, for NR-U operation, </w:t>
      </w:r>
      <w:r w:rsidR="00BD05A1">
        <w:rPr>
          <w:color w:val="000000" w:themeColor="text1"/>
        </w:rPr>
        <w:t xml:space="preserve">it is agreed that dynamic </w:t>
      </w:r>
      <w:r w:rsidRPr="00773575">
        <w:rPr>
          <w:color w:val="000000" w:themeColor="text1"/>
        </w:rPr>
        <w:t xml:space="preserve">PDCCH monitoring should be </w:t>
      </w:r>
      <w:r w:rsidR="00BD05A1">
        <w:rPr>
          <w:color w:val="000000" w:themeColor="text1"/>
        </w:rPr>
        <w:t>suppor</w:t>
      </w:r>
      <w:r w:rsidR="008809DF">
        <w:rPr>
          <w:color w:val="000000" w:themeColor="text1"/>
        </w:rPr>
        <w:t xml:space="preserve">ted </w:t>
      </w:r>
      <w:r w:rsidR="008809DF">
        <w:rPr>
          <w:color w:val="000000" w:themeColor="text1"/>
        </w:rPr>
        <w:fldChar w:fldCharType="begin"/>
      </w:r>
      <w:r w:rsidR="008809DF">
        <w:rPr>
          <w:color w:val="000000" w:themeColor="text1"/>
        </w:rPr>
        <w:instrText xml:space="preserve"> REF _Ref534978969 \n \h </w:instrText>
      </w:r>
      <w:r w:rsidR="008809DF">
        <w:rPr>
          <w:color w:val="000000" w:themeColor="text1"/>
        </w:rPr>
      </w:r>
      <w:r w:rsidR="008809DF">
        <w:rPr>
          <w:color w:val="000000" w:themeColor="text1"/>
        </w:rPr>
        <w:fldChar w:fldCharType="separate"/>
      </w:r>
      <w:r w:rsidR="008809DF">
        <w:rPr>
          <w:color w:val="000000" w:themeColor="text1"/>
        </w:rPr>
        <w:t>[1]</w:t>
      </w:r>
      <w:r w:rsidR="008809DF">
        <w:rPr>
          <w:color w:val="000000" w:themeColor="text1"/>
        </w:rPr>
        <w:fldChar w:fldCharType="end"/>
      </w:r>
      <w:r w:rsidR="00BD05A1">
        <w:rPr>
          <w:color w:val="000000" w:themeColor="text1"/>
        </w:rPr>
        <w:t xml:space="preserve">. The PDCCH monitoring behavior </w:t>
      </w:r>
      <w:r w:rsidR="00DB33A7">
        <w:rPr>
          <w:color w:val="000000" w:themeColor="text1"/>
        </w:rPr>
        <w:t>could</w:t>
      </w:r>
      <w:r w:rsidR="00BD05A1">
        <w:rPr>
          <w:color w:val="000000" w:themeColor="text1"/>
        </w:rPr>
        <w:t xml:space="preserve"> be defined for the following 3 mutually disjoint scenarios:</w:t>
      </w:r>
    </w:p>
    <w:p w14:paraId="006FCE77" w14:textId="74256C02" w:rsidR="00707323" w:rsidRDefault="00BD05A1" w:rsidP="00BD05A1">
      <w:pPr>
        <w:pStyle w:val="ListParagraph"/>
        <w:numPr>
          <w:ilvl w:val="0"/>
          <w:numId w:val="34"/>
        </w:numPr>
        <w:jc w:val="both"/>
        <w:rPr>
          <w:color w:val="000000" w:themeColor="text1"/>
          <w:sz w:val="20"/>
          <w:szCs w:val="20"/>
        </w:rPr>
      </w:pPr>
      <w:r w:rsidRPr="00BD05A1">
        <w:rPr>
          <w:color w:val="000000" w:themeColor="text1"/>
          <w:sz w:val="20"/>
          <w:szCs w:val="20"/>
        </w:rPr>
        <w:t>PDC</w:t>
      </w:r>
      <w:r w:rsidR="00655FE2">
        <w:rPr>
          <w:color w:val="000000" w:themeColor="text1"/>
          <w:sz w:val="20"/>
          <w:szCs w:val="20"/>
        </w:rPr>
        <w:t>CH monitoring outside of a gNB</w:t>
      </w:r>
      <w:r>
        <w:rPr>
          <w:color w:val="000000" w:themeColor="text1"/>
          <w:sz w:val="20"/>
          <w:szCs w:val="20"/>
        </w:rPr>
        <w:t xml:space="preserve"> initiated COT.</w:t>
      </w:r>
    </w:p>
    <w:p w14:paraId="5602CA73" w14:textId="4C7C7A74" w:rsidR="00BD05A1" w:rsidRDefault="00BD05A1"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w:t>
      </w:r>
      <w:r w:rsidR="002B4A6F">
        <w:rPr>
          <w:color w:val="000000" w:themeColor="text1"/>
          <w:sz w:val="20"/>
          <w:szCs w:val="20"/>
        </w:rPr>
        <w:t xml:space="preserve">for a non-slot-boundary-aligned </w:t>
      </w:r>
      <w:r w:rsidR="00E16871">
        <w:rPr>
          <w:color w:val="000000" w:themeColor="text1"/>
          <w:sz w:val="20"/>
          <w:szCs w:val="20"/>
        </w:rPr>
        <w:t xml:space="preserve">PDSCH </w:t>
      </w:r>
      <w:r w:rsidR="002B4A6F">
        <w:rPr>
          <w:color w:val="000000" w:themeColor="text1"/>
          <w:sz w:val="20"/>
          <w:szCs w:val="20"/>
        </w:rPr>
        <w:t xml:space="preserve">allocation </w:t>
      </w:r>
      <w:r w:rsidR="00655FE2">
        <w:rPr>
          <w:color w:val="000000" w:themeColor="text1"/>
          <w:sz w:val="20"/>
          <w:szCs w:val="20"/>
        </w:rPr>
        <w:t>within a gNB</w:t>
      </w:r>
      <w:r>
        <w:rPr>
          <w:color w:val="000000" w:themeColor="text1"/>
          <w:sz w:val="20"/>
          <w:szCs w:val="20"/>
        </w:rPr>
        <w:t xml:space="preserve"> initiated COT</w:t>
      </w:r>
      <w:r w:rsidR="002B4A6F">
        <w:rPr>
          <w:color w:val="000000" w:themeColor="text1"/>
          <w:sz w:val="20"/>
          <w:szCs w:val="20"/>
        </w:rPr>
        <w:t>.</w:t>
      </w:r>
    </w:p>
    <w:p w14:paraId="0D13AF68" w14:textId="69B55F43" w:rsidR="002B4A6F" w:rsidRDefault="002B4A6F" w:rsidP="00BD05A1">
      <w:pPr>
        <w:pStyle w:val="ListParagraph"/>
        <w:numPr>
          <w:ilvl w:val="0"/>
          <w:numId w:val="34"/>
        </w:numPr>
        <w:jc w:val="both"/>
        <w:rPr>
          <w:color w:val="000000" w:themeColor="text1"/>
          <w:sz w:val="20"/>
          <w:szCs w:val="20"/>
        </w:rPr>
      </w:pPr>
      <w:r>
        <w:rPr>
          <w:color w:val="000000" w:themeColor="text1"/>
          <w:sz w:val="20"/>
          <w:szCs w:val="20"/>
        </w:rPr>
        <w:t xml:space="preserve">PDCCH monitoring for a slot-boundary-aligned </w:t>
      </w:r>
      <w:r w:rsidR="00E16871">
        <w:rPr>
          <w:color w:val="000000" w:themeColor="text1"/>
          <w:sz w:val="20"/>
          <w:szCs w:val="20"/>
        </w:rPr>
        <w:t xml:space="preserve">PDSCH </w:t>
      </w:r>
      <w:r w:rsidR="00655FE2">
        <w:rPr>
          <w:color w:val="000000" w:themeColor="text1"/>
          <w:sz w:val="20"/>
          <w:szCs w:val="20"/>
        </w:rPr>
        <w:t>allocation within a gNB</w:t>
      </w:r>
      <w:r>
        <w:rPr>
          <w:color w:val="000000" w:themeColor="text1"/>
          <w:sz w:val="20"/>
          <w:szCs w:val="20"/>
        </w:rPr>
        <w:t xml:space="preserve"> initiated COT.</w:t>
      </w:r>
    </w:p>
    <w:p w14:paraId="03984A71" w14:textId="37639AFC" w:rsidR="00977E0A" w:rsidRDefault="00977E0A" w:rsidP="002B4A6F">
      <w:pPr>
        <w:jc w:val="both"/>
        <w:rPr>
          <w:color w:val="000000" w:themeColor="text1"/>
        </w:rPr>
      </w:pPr>
      <w:r>
        <w:rPr>
          <w:color w:val="000000" w:themeColor="text1"/>
        </w:rPr>
        <w:t xml:space="preserve">For NR-U operation, it is clear that a PDCCH transmission will always be within a </w:t>
      </w:r>
      <w:r w:rsidR="00DB33A7">
        <w:rPr>
          <w:color w:val="000000" w:themeColor="text1"/>
        </w:rPr>
        <w:t>gNB</w:t>
      </w:r>
      <w:r>
        <w:rPr>
          <w:color w:val="000000" w:themeColor="text1"/>
        </w:rPr>
        <w:t xml:space="preserve"> initiated COT. This implies that for scenario 1 listed above, PDCCH monitoring is unnecessary, and we have the following proposal:</w:t>
      </w:r>
    </w:p>
    <w:p w14:paraId="13F795EE" w14:textId="6A5F69E5" w:rsidR="00977E0A" w:rsidRDefault="00977E0A" w:rsidP="00977E0A">
      <w:pPr>
        <w:rPr>
          <w:rFonts w:eastAsia="SimSun"/>
          <w:b/>
          <w:lang w:eastAsia="zh-CN"/>
        </w:rPr>
      </w:pPr>
      <w:r>
        <w:rPr>
          <w:rFonts w:eastAsia="SimSun"/>
          <w:b/>
          <w:lang w:eastAsia="zh-CN"/>
        </w:rPr>
        <w:t>Proposal 3: PDCCH monitoring for NR</w:t>
      </w:r>
      <w:r w:rsidR="00DB33A7">
        <w:rPr>
          <w:rFonts w:eastAsia="SimSun"/>
          <w:b/>
          <w:lang w:eastAsia="zh-CN"/>
        </w:rPr>
        <w:t>-U is only performed within a gNB</w:t>
      </w:r>
      <w:r>
        <w:rPr>
          <w:rFonts w:eastAsia="SimSun"/>
          <w:b/>
          <w:lang w:eastAsia="zh-CN"/>
        </w:rPr>
        <w:t xml:space="preserve"> initiated COT.</w:t>
      </w:r>
    </w:p>
    <w:p w14:paraId="7F239CCE" w14:textId="01DD206C" w:rsidR="00B13548" w:rsidRDefault="00977E0A" w:rsidP="00D84328">
      <w:pPr>
        <w:jc w:val="both"/>
        <w:rPr>
          <w:color w:val="000000" w:themeColor="text1"/>
        </w:rPr>
      </w:pPr>
      <w:r>
        <w:rPr>
          <w:color w:val="000000" w:themeColor="text1"/>
        </w:rPr>
        <w:t xml:space="preserve">As discussed in the previous section, there are multiple proposals for </w:t>
      </w:r>
      <w:r w:rsidR="00DB33A7">
        <w:rPr>
          <w:color w:val="000000" w:themeColor="text1"/>
        </w:rPr>
        <w:t xml:space="preserve">possible </w:t>
      </w:r>
      <w:r>
        <w:rPr>
          <w:color w:val="000000" w:themeColor="text1"/>
        </w:rPr>
        <w:t xml:space="preserve">PDSCH allocations within a COT. </w:t>
      </w:r>
      <w:r w:rsidR="00E16871">
        <w:rPr>
          <w:color w:val="000000" w:themeColor="text1"/>
        </w:rPr>
        <w:t xml:space="preserve">Regardless of the differences between these proposals, we can always partition the PDSCH allocations within a COT into two categories, namely, </w:t>
      </w:r>
      <w:r w:rsidR="00E16871" w:rsidRPr="00E16871">
        <w:rPr>
          <w:color w:val="000000" w:themeColor="text1"/>
        </w:rPr>
        <w:t>non-slot-boundary-aligned PDSCH allocation</w:t>
      </w:r>
      <w:r w:rsidR="00E16871">
        <w:rPr>
          <w:color w:val="000000" w:themeColor="text1"/>
        </w:rPr>
        <w:t xml:space="preserve"> and slot-boundary-aligned PDSCH allocation.</w:t>
      </w:r>
      <w:r w:rsidR="00DB33A7">
        <w:rPr>
          <w:color w:val="000000" w:themeColor="text1"/>
        </w:rPr>
        <w:t xml:space="preserve"> As </w:t>
      </w:r>
      <w:r w:rsidR="00A05183">
        <w:rPr>
          <w:color w:val="000000" w:themeColor="text1"/>
        </w:rPr>
        <w:t>suggested by its name, a slot-boundary-aligned PDSCH allocation is a typical NR PDSCH allocation that is</w:t>
      </w:r>
      <w:r w:rsidR="00165934">
        <w:rPr>
          <w:color w:val="000000" w:themeColor="text1"/>
        </w:rPr>
        <w:t xml:space="preserve"> aligned with the slot boundary</w:t>
      </w:r>
      <w:r w:rsidR="00DB33A7">
        <w:rPr>
          <w:color w:val="000000" w:themeColor="text1"/>
        </w:rPr>
        <w:t xml:space="preserve"> (i.e., NR </w:t>
      </w:r>
      <w:r w:rsidR="00CD4CD7">
        <w:rPr>
          <w:color w:val="000000" w:themeColor="text1"/>
        </w:rPr>
        <w:t>slot based scheduling</w:t>
      </w:r>
      <w:r w:rsidR="00DB33A7">
        <w:rPr>
          <w:color w:val="000000" w:themeColor="text1"/>
        </w:rPr>
        <w:t>)</w:t>
      </w:r>
      <w:r w:rsidR="00165934">
        <w:rPr>
          <w:color w:val="000000" w:themeColor="text1"/>
        </w:rPr>
        <w:t xml:space="preserve">, </w:t>
      </w:r>
      <w:r w:rsidR="00DB33A7">
        <w:rPr>
          <w:color w:val="000000" w:themeColor="text1"/>
        </w:rPr>
        <w:t xml:space="preserve">while </w:t>
      </w:r>
      <w:r w:rsidR="00165934">
        <w:rPr>
          <w:color w:val="000000" w:themeColor="text1"/>
        </w:rPr>
        <w:t>all other allocation types belongs to non-slot-boundary-aligned PDSCH allocation</w:t>
      </w:r>
      <w:r w:rsidR="00DB33A7">
        <w:rPr>
          <w:color w:val="000000" w:themeColor="text1"/>
        </w:rPr>
        <w:t xml:space="preserve"> (including </w:t>
      </w:r>
      <w:r w:rsidR="00CD4CD7">
        <w:rPr>
          <w:color w:val="000000" w:themeColor="text1"/>
        </w:rPr>
        <w:t>non-slot based scheduling as defined in NR)</w:t>
      </w:r>
      <w:r w:rsidR="00165934">
        <w:rPr>
          <w:color w:val="000000" w:themeColor="text1"/>
        </w:rPr>
        <w:t>.</w:t>
      </w:r>
      <w:r w:rsidR="00B13548">
        <w:rPr>
          <w:color w:val="000000" w:themeColor="text1"/>
        </w:rPr>
        <w:t xml:space="preserve"> </w:t>
      </w:r>
    </w:p>
    <w:p w14:paraId="1720A31C" w14:textId="24FFC743" w:rsidR="007F27F8" w:rsidRDefault="00D84328" w:rsidP="002B4A6F">
      <w:pPr>
        <w:jc w:val="both"/>
        <w:rPr>
          <w:color w:val="000000" w:themeColor="text1"/>
        </w:rPr>
      </w:pPr>
      <w:r>
        <w:rPr>
          <w:color w:val="000000" w:themeColor="text1"/>
        </w:rPr>
        <w:t xml:space="preserve">When performing PDCCH monitoring within a COT, it is assumed that the UE has detected the starting point of the COT. In such case, </w:t>
      </w:r>
      <w:r w:rsidR="0051330E">
        <w:rPr>
          <w:color w:val="000000" w:themeColor="text1"/>
        </w:rPr>
        <w:t>f</w:t>
      </w:r>
      <w:r w:rsidR="007F27F8">
        <w:rPr>
          <w:color w:val="000000" w:themeColor="text1"/>
        </w:rPr>
        <w:t xml:space="preserve">or slot-boundary-aligned PDSCH allocations, the corresponding PDCCH allocation (and monitoring) should follow the current NR design. For non-slot-boundary-aligned PDSCH, PDCCH allocation (and monitoring) </w:t>
      </w:r>
      <w:r w:rsidR="00CD4CD7">
        <w:rPr>
          <w:color w:val="000000" w:themeColor="text1"/>
        </w:rPr>
        <w:t xml:space="preserve">would need further considerations. One possible option is to use PDCCH allocation (and monitoring) </w:t>
      </w:r>
      <w:r w:rsidR="007F27F8">
        <w:rPr>
          <w:color w:val="000000" w:themeColor="text1"/>
        </w:rPr>
        <w:t xml:space="preserve">similar to the ones used for NR </w:t>
      </w:r>
      <w:r w:rsidR="00CD4CD7">
        <w:rPr>
          <w:color w:val="000000" w:themeColor="text1"/>
        </w:rPr>
        <w:t>non-slot based scheduling</w:t>
      </w:r>
      <w:r w:rsidR="007F27F8">
        <w:rPr>
          <w:color w:val="000000" w:themeColor="text1"/>
        </w:rPr>
        <w:t xml:space="preserve"> (i.e., mini-slot)</w:t>
      </w:r>
      <w:r w:rsidR="0051330E">
        <w:rPr>
          <w:color w:val="000000" w:themeColor="text1"/>
        </w:rPr>
        <w:t>.</w:t>
      </w:r>
    </w:p>
    <w:p w14:paraId="3EAED685" w14:textId="39A26DB6" w:rsidR="00655FE2" w:rsidRPr="007D2807" w:rsidRDefault="00655FE2" w:rsidP="007D2807">
      <w:pPr>
        <w:rPr>
          <w:rFonts w:eastAsia="SimSun"/>
          <w:b/>
          <w:lang w:eastAsia="zh-CN"/>
        </w:rPr>
      </w:pPr>
      <w:r>
        <w:rPr>
          <w:rFonts w:eastAsia="SimSun"/>
          <w:b/>
          <w:lang w:eastAsia="zh-CN"/>
        </w:rPr>
        <w:t>Proposal 4: PDCCH monitoring</w:t>
      </w:r>
      <w:r w:rsidR="007D2807">
        <w:rPr>
          <w:rFonts w:eastAsia="SimSun"/>
          <w:b/>
          <w:lang w:eastAsia="zh-CN"/>
        </w:rPr>
        <w:t xml:space="preserve"> for slot-boundary-aligned PDSCH allocation and non-slot-boundary-aligned PDSCH allocation should be considered separately.</w:t>
      </w:r>
    </w:p>
    <w:p w14:paraId="117AD401" w14:textId="0DE04245" w:rsidR="00FF3434" w:rsidRPr="00715548" w:rsidRDefault="00D40D66" w:rsidP="006E4D6C">
      <w:pPr>
        <w:pStyle w:val="Heading1"/>
        <w:numPr>
          <w:ilvl w:val="0"/>
          <w:numId w:val="5"/>
        </w:numPr>
        <w:spacing w:after="120"/>
        <w:ind w:right="288"/>
        <w:jc w:val="both"/>
        <w:rPr>
          <w:color w:val="000000" w:themeColor="text1"/>
        </w:rPr>
      </w:pPr>
      <w:r>
        <w:rPr>
          <w:color w:val="000000" w:themeColor="text1"/>
        </w:rPr>
        <w:t>DL Transmission Burst Detection</w:t>
      </w:r>
    </w:p>
    <w:p w14:paraId="00AEBCB4" w14:textId="6AE428A2" w:rsidR="008F304D" w:rsidRDefault="000C742C" w:rsidP="006E4D6C">
      <w:pPr>
        <w:jc w:val="both"/>
        <w:rPr>
          <w:color w:val="000000" w:themeColor="text1"/>
        </w:rPr>
      </w:pPr>
      <w:r>
        <w:rPr>
          <w:color w:val="000000" w:themeColor="text1"/>
        </w:rPr>
        <w:t xml:space="preserve">In order to reduce UE power consumption and PDCCH monitoring complexity (as stated in the previous section), it is necessary </w:t>
      </w:r>
      <w:r w:rsidR="008F304D">
        <w:rPr>
          <w:color w:val="000000" w:themeColor="text1"/>
        </w:rPr>
        <w:t xml:space="preserve">to define a signal (i.e., the initial signal) </w:t>
      </w:r>
      <w:r>
        <w:rPr>
          <w:color w:val="000000" w:themeColor="text1"/>
        </w:rPr>
        <w:t xml:space="preserve">for an UE to identify the starting point of a DL transmission burst (i.e., gNB initiated COT). </w:t>
      </w:r>
      <w:r w:rsidR="008F304D">
        <w:rPr>
          <w:color w:val="000000" w:themeColor="text1"/>
        </w:rPr>
        <w:t>Regarding design of the initial signal, s</w:t>
      </w:r>
      <w:r>
        <w:rPr>
          <w:color w:val="000000" w:themeColor="text1"/>
        </w:rPr>
        <w:t xml:space="preserve">everal proposals </w:t>
      </w:r>
      <w:r w:rsidR="008F304D">
        <w:rPr>
          <w:color w:val="000000" w:themeColor="text1"/>
        </w:rPr>
        <w:t>have</w:t>
      </w:r>
      <w:r>
        <w:rPr>
          <w:color w:val="000000" w:themeColor="text1"/>
        </w:rPr>
        <w:t xml:space="preserve"> been </w:t>
      </w:r>
      <w:r w:rsidR="008F304D">
        <w:rPr>
          <w:color w:val="000000" w:themeColor="text1"/>
        </w:rPr>
        <w:t>studied during the study item phase</w:t>
      </w:r>
      <w:r w:rsidR="008809DF">
        <w:rPr>
          <w:color w:val="000000" w:themeColor="text1"/>
        </w:rPr>
        <w:t xml:space="preserve">, including </w:t>
      </w:r>
      <w:r w:rsidR="008809DF">
        <w:rPr>
          <w:color w:val="000000" w:themeColor="text1"/>
        </w:rPr>
        <w:fldChar w:fldCharType="begin"/>
      </w:r>
      <w:r w:rsidR="008809DF">
        <w:rPr>
          <w:color w:val="000000" w:themeColor="text1"/>
        </w:rPr>
        <w:instrText xml:space="preserve"> REF _Ref534978997 \n \h </w:instrText>
      </w:r>
      <w:r w:rsidR="008809DF">
        <w:rPr>
          <w:color w:val="000000" w:themeColor="text1"/>
        </w:rPr>
      </w:r>
      <w:r w:rsidR="008809DF">
        <w:rPr>
          <w:color w:val="000000" w:themeColor="text1"/>
        </w:rPr>
        <w:fldChar w:fldCharType="separate"/>
      </w:r>
      <w:r w:rsidR="008809DF">
        <w:rPr>
          <w:color w:val="000000" w:themeColor="text1"/>
        </w:rPr>
        <w:t>[2]</w:t>
      </w:r>
      <w:r w:rsidR="008809DF">
        <w:rPr>
          <w:color w:val="000000" w:themeColor="text1"/>
        </w:rPr>
        <w:fldChar w:fldCharType="end"/>
      </w:r>
      <w:r w:rsidR="008F304D">
        <w:rPr>
          <w:color w:val="000000" w:themeColor="text1"/>
        </w:rPr>
        <w:t>:</w:t>
      </w:r>
    </w:p>
    <w:p w14:paraId="77279766" w14:textId="3885B876" w:rsidR="008F304D" w:rsidRPr="00190CBC" w:rsidRDefault="00190CBC" w:rsidP="00190CBC">
      <w:pPr>
        <w:jc w:val="both"/>
        <w:rPr>
          <w:color w:val="000000" w:themeColor="text1"/>
        </w:rPr>
      </w:pPr>
      <w:r w:rsidRPr="00190CBC">
        <w:rPr>
          <w:color w:val="000000" w:themeColor="text1"/>
          <w:u w:val="single"/>
        </w:rPr>
        <w:t>Option 1</w:t>
      </w:r>
      <w:r w:rsidRPr="00190CBC">
        <w:rPr>
          <w:color w:val="000000" w:themeColor="text1"/>
        </w:rPr>
        <w:t xml:space="preserve">: </w:t>
      </w:r>
      <w:r w:rsidR="008F304D" w:rsidRPr="00190CBC">
        <w:rPr>
          <w:color w:val="000000" w:themeColor="text1"/>
        </w:rPr>
        <w:t>existing NR signal(s) with potential enhancement(s)</w:t>
      </w:r>
    </w:p>
    <w:p w14:paraId="19B25F11" w14:textId="30592F15" w:rsidR="008F304D" w:rsidRPr="00190CBC" w:rsidRDefault="00190CBC" w:rsidP="00190CBC">
      <w:pPr>
        <w:jc w:val="both"/>
        <w:rPr>
          <w:color w:val="000000" w:themeColor="text1"/>
        </w:rPr>
      </w:pPr>
      <w:r w:rsidRPr="00190CBC">
        <w:rPr>
          <w:color w:val="000000" w:themeColor="text1"/>
          <w:u w:val="single"/>
        </w:rPr>
        <w:lastRenderedPageBreak/>
        <w:t>Option 2</w:t>
      </w:r>
      <w:r>
        <w:rPr>
          <w:color w:val="000000" w:themeColor="text1"/>
        </w:rPr>
        <w:t xml:space="preserve">: </w:t>
      </w:r>
      <w:r w:rsidR="008F304D" w:rsidRPr="00190CBC">
        <w:rPr>
          <w:color w:val="000000" w:themeColor="text1"/>
        </w:rPr>
        <w:t xml:space="preserve">a channel such as PDCCH with potential enhancement(s)  </w:t>
      </w:r>
    </w:p>
    <w:p w14:paraId="7D9956C5" w14:textId="1B1F316A" w:rsidR="000C742C" w:rsidRPr="00190CBC" w:rsidRDefault="00190CBC" w:rsidP="00190CBC">
      <w:pPr>
        <w:jc w:val="both"/>
        <w:rPr>
          <w:color w:val="000000" w:themeColor="text1"/>
        </w:rPr>
      </w:pPr>
      <w:r w:rsidRPr="00190CBC">
        <w:rPr>
          <w:color w:val="000000" w:themeColor="text1"/>
          <w:u w:val="single"/>
        </w:rPr>
        <w:t>Option 3</w:t>
      </w:r>
      <w:r>
        <w:rPr>
          <w:color w:val="000000" w:themeColor="text1"/>
        </w:rPr>
        <w:t xml:space="preserve">: </w:t>
      </w:r>
      <w:r w:rsidR="008F304D" w:rsidRPr="00190CBC">
        <w:rPr>
          <w:color w:val="000000" w:themeColor="text1"/>
        </w:rPr>
        <w:t>the 802.11a/802.11ax preamble with potential enhancement(s)</w:t>
      </w:r>
    </w:p>
    <w:p w14:paraId="010FD22D" w14:textId="3C5C114E" w:rsidR="005A218B" w:rsidRDefault="001F1B4A" w:rsidP="00AE02D0">
      <w:pPr>
        <w:jc w:val="both"/>
      </w:pPr>
      <w:r>
        <w:t>For option 2</w:t>
      </w:r>
      <w:r w:rsidR="00AE02D0">
        <w:t xml:space="preserve">, the </w:t>
      </w:r>
      <w:r>
        <w:t xml:space="preserve">UE detection </w:t>
      </w:r>
      <w:r w:rsidR="00AE02D0">
        <w:t xml:space="preserve">complexity is </w:t>
      </w:r>
      <w:r>
        <w:t xml:space="preserve">in general </w:t>
      </w:r>
      <w:r w:rsidR="0031184B">
        <w:t xml:space="preserve">much </w:t>
      </w:r>
      <w:r w:rsidR="00AE02D0">
        <w:t xml:space="preserve">higher than </w:t>
      </w:r>
      <w:r w:rsidR="003F0808">
        <w:t xml:space="preserve">that of </w:t>
      </w:r>
      <w:r w:rsidR="00AE02D0">
        <w:t>the other two option</w:t>
      </w:r>
      <w:r w:rsidR="0031184B">
        <w:t>s</w:t>
      </w:r>
      <w:r>
        <w:t>.</w:t>
      </w:r>
      <w:r w:rsidR="00AE02D0">
        <w:t xml:space="preserve"> </w:t>
      </w:r>
      <w:r>
        <w:t>Specifically, compared to sequence based correlation detection, PDCCH decoding involves a more complicated Polar Code decoding, together with multiple blind decoding attempts</w:t>
      </w:r>
      <w:r w:rsidR="005A218B">
        <w:t xml:space="preserve"> depending on search space configurations</w:t>
      </w:r>
      <w:r>
        <w:t>.</w:t>
      </w:r>
      <w:r w:rsidR="005A218B">
        <w:t xml:space="preserve"> This leads to more power consumption and more PDCCH monitoring complexity for the NR-U UE operation.</w:t>
      </w:r>
    </w:p>
    <w:p w14:paraId="7AD0EE8A" w14:textId="527968DC" w:rsidR="005A218B" w:rsidRDefault="005A218B" w:rsidP="00AE02D0">
      <w:pPr>
        <w:jc w:val="both"/>
      </w:pPr>
      <w:r>
        <w:t xml:space="preserve">For option3, even though the 802.11a/802.11ax preamble is in theory a sequence that allows efficient detection, it is not clear how it could be integrated into the existing NR framework. </w:t>
      </w:r>
      <w:r w:rsidR="00D32255">
        <w:t>Furthermore, since the design of this preamble does not take existing NR signals into account (e.g., NR PSS or SSS or PDCCH DMRS), it may exhibits performance issues (e.g., bad trade-offs between detection rate and false alarm rate) during NR-U operations.</w:t>
      </w:r>
    </w:p>
    <w:p w14:paraId="4E898051" w14:textId="03CE9878" w:rsidR="00BD5FF5" w:rsidRPr="00D32255" w:rsidRDefault="00D32255" w:rsidP="00D32255">
      <w:pPr>
        <w:jc w:val="both"/>
      </w:pPr>
      <w:r>
        <w:t xml:space="preserve">For option1, there are several candidates that can be used as an initial signal. Examples include NR PSS and NR PDCCH DMRS. Each candidate has its pros and cons when serving as an initial signal. It is therefore necessary to conduct a performance comparison between these candidates, such that their trade-offs could be quantified and better understood. </w:t>
      </w:r>
      <w:r w:rsidR="00AE02D0">
        <w:t xml:space="preserve"> </w:t>
      </w:r>
    </w:p>
    <w:p w14:paraId="1980859C" w14:textId="3736992E" w:rsidR="00FB71AC" w:rsidRPr="00B44CA0" w:rsidRDefault="007303F7" w:rsidP="00B44CA0">
      <w:pPr>
        <w:pStyle w:val="Caption"/>
      </w:pPr>
      <w:bookmarkStart w:id="7" w:name="_Ref528930857"/>
      <w:r>
        <w:t xml:space="preserve">Observation </w:t>
      </w:r>
      <w:r w:rsidR="008809DF">
        <w:rPr>
          <w:noProof/>
        </w:rPr>
        <w:t>4</w:t>
      </w:r>
      <w:r w:rsidR="00BD5FF5" w:rsidRPr="00BD5FF5">
        <w:t xml:space="preserve">: </w:t>
      </w:r>
      <w:r w:rsidR="00BD5FF5">
        <w:t xml:space="preserve">PDCCH </w:t>
      </w:r>
      <w:r w:rsidR="00B44CA0">
        <w:t>is not suitable</w:t>
      </w:r>
      <w:r w:rsidR="00BD5FF5" w:rsidRPr="00BD5FF5">
        <w:t xml:space="preserve"> for </w:t>
      </w:r>
      <w:r w:rsidR="0082499E">
        <w:rPr>
          <w:rFonts w:eastAsia="SimSun"/>
          <w:lang w:eastAsia="zh-CN"/>
        </w:rPr>
        <w:t>transmission burst detection</w:t>
      </w:r>
      <w:r w:rsidR="00BD5FF5">
        <w:t xml:space="preserve"> </w:t>
      </w:r>
      <w:bookmarkEnd w:id="7"/>
      <w:r w:rsidR="00B44CA0">
        <w:t>due to high UE detection complexity.</w:t>
      </w:r>
    </w:p>
    <w:p w14:paraId="72927E19" w14:textId="71DB4E01" w:rsidR="00FB71AC" w:rsidRDefault="00782710" w:rsidP="00FB71AC">
      <w:pPr>
        <w:tabs>
          <w:tab w:val="num" w:pos="2160"/>
        </w:tabs>
        <w:jc w:val="both"/>
        <w:rPr>
          <w:b/>
        </w:rPr>
      </w:pPr>
      <w:r w:rsidRPr="00782710">
        <w:rPr>
          <w:rFonts w:eastAsia="SimSun"/>
          <w:b/>
          <w:lang w:eastAsia="zh-CN"/>
        </w:rPr>
        <w:t xml:space="preserve">Proposal </w:t>
      </w:r>
      <w:r w:rsidR="00052AAF">
        <w:rPr>
          <w:rFonts w:eastAsia="SimSun"/>
          <w:b/>
          <w:lang w:eastAsia="zh-CN"/>
        </w:rPr>
        <w:t>5</w:t>
      </w:r>
      <w:r w:rsidRPr="00782710">
        <w:rPr>
          <w:rFonts w:eastAsia="SimSun"/>
          <w:b/>
          <w:lang w:eastAsia="zh-CN"/>
        </w:rPr>
        <w:t>:</w:t>
      </w:r>
      <w:r w:rsidR="00FB71AC">
        <w:rPr>
          <w:rFonts w:eastAsia="SimSun"/>
          <w:b/>
          <w:lang w:eastAsia="zh-CN"/>
        </w:rPr>
        <w:t xml:space="preserve"> </w:t>
      </w:r>
      <w:r w:rsidR="00B44CA0">
        <w:rPr>
          <w:b/>
        </w:rPr>
        <w:t>Initial signal for DL transmission burst detection should be sequence based signal that allows low detection complexity.</w:t>
      </w:r>
    </w:p>
    <w:p w14:paraId="59D0DB5A" w14:textId="6A865F5A" w:rsidR="00612C48" w:rsidRPr="0059008E" w:rsidRDefault="00052AAF" w:rsidP="0059008E">
      <w:pPr>
        <w:tabs>
          <w:tab w:val="num" w:pos="2160"/>
        </w:tabs>
        <w:jc w:val="both"/>
        <w:rPr>
          <w:color w:val="000000" w:themeColor="text1"/>
        </w:rPr>
      </w:pPr>
      <w:r>
        <w:rPr>
          <w:b/>
        </w:rPr>
        <w:t>Proposal 6</w:t>
      </w:r>
      <w:r w:rsidR="00B44CA0">
        <w:rPr>
          <w:b/>
        </w:rPr>
        <w:t>: Performance comparisons between initial signal candidates should be evaluated. Performance metrics should include detection rate, false alarm rate, detection complexity, and UE power consumption.</w:t>
      </w:r>
      <w:r w:rsidR="00016084">
        <w:tab/>
      </w:r>
    </w:p>
    <w:p w14:paraId="784959EF" w14:textId="77777777" w:rsidR="00C91077" w:rsidRPr="00715548" w:rsidRDefault="00C91077" w:rsidP="00AD4CB0">
      <w:pPr>
        <w:pStyle w:val="Heading1"/>
        <w:numPr>
          <w:ilvl w:val="0"/>
          <w:numId w:val="5"/>
        </w:numPr>
        <w:spacing w:after="120"/>
        <w:ind w:right="288"/>
        <w:jc w:val="both"/>
        <w:rPr>
          <w:color w:val="000000" w:themeColor="text1"/>
        </w:rPr>
      </w:pPr>
      <w:r w:rsidRPr="00715548">
        <w:rPr>
          <w:color w:val="000000" w:themeColor="text1"/>
        </w:rPr>
        <w:t>Conclusion</w:t>
      </w:r>
    </w:p>
    <w:p w14:paraId="784959F0" w14:textId="77777777" w:rsidR="00607302" w:rsidRPr="00122B31" w:rsidRDefault="00607302" w:rsidP="00AD4CB0">
      <w:pPr>
        <w:jc w:val="both"/>
        <w:rPr>
          <w:color w:val="000000" w:themeColor="text1"/>
        </w:rPr>
      </w:pPr>
      <w:r w:rsidRPr="00122B31">
        <w:rPr>
          <w:color w:val="000000" w:themeColor="text1"/>
        </w:rPr>
        <w:t xml:space="preserve">In summary, we </w:t>
      </w:r>
      <w:r w:rsidR="006D0FDF" w:rsidRPr="00122B31">
        <w:rPr>
          <w:color w:val="000000" w:themeColor="text1"/>
        </w:rPr>
        <w:t>have the following observations:</w:t>
      </w:r>
    </w:p>
    <w:p w14:paraId="629DAAB8" w14:textId="730C8D1F" w:rsidR="002946C7" w:rsidRPr="00655F7C" w:rsidRDefault="0059008E" w:rsidP="00C3251D">
      <w:pPr>
        <w:rPr>
          <w:rFonts w:eastAsia="SimSun"/>
          <w:b/>
          <w:color w:val="000000" w:themeColor="text1"/>
          <w:lang w:eastAsia="zh-CN"/>
        </w:rPr>
      </w:pPr>
      <w:r>
        <w:rPr>
          <w:rFonts w:eastAsia="SimSun"/>
          <w:b/>
          <w:lang w:eastAsia="zh-CN"/>
        </w:rPr>
        <w:t>Observation 1: Type-A and Type-B slot lengths together are insufficient to cover every possible partial slot length immediately following a successful LBT. 1-, 3- or 5-</w:t>
      </w:r>
      <w:r w:rsidRPr="00501509">
        <w:rPr>
          <w:rFonts w:eastAsia="SimSun"/>
          <w:b/>
          <w:lang w:eastAsia="zh-CN"/>
        </w:rPr>
        <w:t>symbol partial slot</w:t>
      </w:r>
      <w:r>
        <w:rPr>
          <w:rFonts w:eastAsia="SimSun"/>
          <w:b/>
          <w:lang w:eastAsia="zh-CN"/>
        </w:rPr>
        <w:t>s</w:t>
      </w:r>
      <w:r w:rsidRPr="00501509">
        <w:rPr>
          <w:rFonts w:eastAsia="SimSun"/>
          <w:b/>
          <w:lang w:eastAsia="zh-CN"/>
        </w:rPr>
        <w:t xml:space="preserve"> will still need a 1-symbol reservation signal.</w:t>
      </w:r>
    </w:p>
    <w:p w14:paraId="2342AC15" w14:textId="77777777" w:rsidR="0059008E" w:rsidRDefault="0059008E" w:rsidP="0059008E">
      <w:pPr>
        <w:rPr>
          <w:rFonts w:eastAsia="SimSun"/>
          <w:b/>
          <w:lang w:eastAsia="zh-CN"/>
        </w:rPr>
      </w:pPr>
      <w:r>
        <w:rPr>
          <w:rFonts w:eastAsia="SimSun"/>
          <w:b/>
          <w:lang w:eastAsia="zh-CN"/>
        </w:rPr>
        <w:t>Observation 2: NR rate-matching, slot aggregation and full slot first all help alleviate the concerns with Option 1, Option 2 and Option 3.</w:t>
      </w:r>
    </w:p>
    <w:p w14:paraId="20E68F3F" w14:textId="4FD06E81" w:rsidR="00D4362E" w:rsidRDefault="0059008E" w:rsidP="0059008E">
      <w:pPr>
        <w:rPr>
          <w:rFonts w:eastAsia="SimSun"/>
          <w:b/>
          <w:lang w:eastAsia="zh-CN"/>
        </w:rPr>
      </w:pPr>
      <w:r>
        <w:rPr>
          <w:rFonts w:eastAsia="SimSun"/>
          <w:b/>
          <w:lang w:eastAsia="zh-CN"/>
        </w:rPr>
        <w:t>Observation 3: For the partial slot located at the beginning of a COT, it may be beneficial to consider slot aggregation (partial slot + the next full slot) when the number of symbols within this partial slot is relatively small.</w:t>
      </w:r>
    </w:p>
    <w:p w14:paraId="1B84D8D5" w14:textId="77777777" w:rsidR="0059008E" w:rsidRPr="00B44CA0" w:rsidRDefault="0059008E" w:rsidP="0059008E">
      <w:pPr>
        <w:pStyle w:val="Caption"/>
      </w:pPr>
      <w:r>
        <w:t xml:space="preserve">Observation </w:t>
      </w:r>
      <w:r>
        <w:rPr>
          <w:noProof/>
        </w:rPr>
        <w:t>4</w:t>
      </w:r>
      <w:r w:rsidRPr="00BD5FF5">
        <w:t xml:space="preserve">: </w:t>
      </w:r>
      <w:r>
        <w:t>PDCCH is not suitable</w:t>
      </w:r>
      <w:r w:rsidRPr="00BD5FF5">
        <w:t xml:space="preserve"> for </w:t>
      </w:r>
      <w:r>
        <w:rPr>
          <w:rFonts w:eastAsia="SimSun"/>
          <w:lang w:eastAsia="zh-CN"/>
        </w:rPr>
        <w:t>transmission burst detection</w:t>
      </w:r>
      <w:r>
        <w:t xml:space="preserve"> due to high UE detection complexity.</w:t>
      </w:r>
    </w:p>
    <w:p w14:paraId="784959F4" w14:textId="03657DFA" w:rsidR="00592106" w:rsidRDefault="00592106" w:rsidP="00AD4CB0">
      <w:pPr>
        <w:jc w:val="both"/>
        <w:rPr>
          <w:rFonts w:eastAsia="SimSun"/>
          <w:color w:val="000000" w:themeColor="text1"/>
          <w:lang w:eastAsia="zh-CN"/>
        </w:rPr>
      </w:pPr>
      <w:r w:rsidRPr="00122B31">
        <w:rPr>
          <w:rFonts w:eastAsia="SimSun"/>
          <w:color w:val="000000" w:themeColor="text1"/>
          <w:lang w:eastAsia="zh-CN"/>
        </w:rPr>
        <w:t xml:space="preserve">Based on </w:t>
      </w:r>
      <w:r w:rsidR="000F117E" w:rsidRPr="00122B31">
        <w:rPr>
          <w:rFonts w:eastAsia="SimSun"/>
          <w:color w:val="000000" w:themeColor="text1"/>
          <w:lang w:eastAsia="zh-CN"/>
        </w:rPr>
        <w:t>the observation</w:t>
      </w:r>
      <w:r w:rsidR="00C00CC1">
        <w:rPr>
          <w:rFonts w:eastAsia="SimSun"/>
          <w:color w:val="000000" w:themeColor="text1"/>
          <w:lang w:eastAsia="zh-CN"/>
        </w:rPr>
        <w:t>s</w:t>
      </w:r>
      <w:r w:rsidRPr="00122B31">
        <w:rPr>
          <w:rFonts w:eastAsia="SimSun"/>
          <w:color w:val="000000" w:themeColor="text1"/>
          <w:lang w:eastAsia="zh-CN"/>
        </w:rPr>
        <w:t>, we propose that</w:t>
      </w:r>
    </w:p>
    <w:p w14:paraId="16F8A0B3" w14:textId="77777777" w:rsidR="0059008E" w:rsidRPr="001876C9" w:rsidRDefault="0059008E" w:rsidP="0059008E">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partial slot allocation to a mini-slot for flexible TB to slot mapping using techniques such as NR rate matching and slot aggregation.</w:t>
      </w:r>
    </w:p>
    <w:p w14:paraId="53194E55" w14:textId="5B39B051" w:rsidR="0059008E" w:rsidRDefault="0059008E" w:rsidP="0059008E">
      <w:pPr>
        <w:jc w:val="both"/>
        <w:rPr>
          <w:rFonts w:eastAsia="SimSun"/>
          <w:b/>
          <w:color w:val="000000" w:themeColor="text1"/>
          <w:lang w:eastAsia="zh-CN"/>
        </w:rPr>
      </w:pPr>
      <w:r>
        <w:rPr>
          <w:rFonts w:eastAsia="SimSun"/>
          <w:b/>
          <w:lang w:eastAsia="zh-CN"/>
        </w:rPr>
        <w:t>Proposal 2</w:t>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2899F879" w14:textId="2104132D" w:rsidR="00C00CC1" w:rsidRDefault="0059008E" w:rsidP="00C00CC1">
      <w:pPr>
        <w:jc w:val="both"/>
        <w:rPr>
          <w:rFonts w:eastAsia="SimSun"/>
          <w:b/>
          <w:lang w:eastAsia="zh-CN"/>
        </w:rPr>
      </w:pPr>
      <w:r>
        <w:rPr>
          <w:rFonts w:eastAsia="SimSun"/>
          <w:b/>
          <w:lang w:eastAsia="zh-CN"/>
        </w:rPr>
        <w:t>Proposal 3: PDCCH monitoring for NR-U is only performed within a gNB initiated COT.</w:t>
      </w:r>
    </w:p>
    <w:p w14:paraId="6B2BEB11" w14:textId="0EE5DC19" w:rsidR="0059008E" w:rsidRPr="002A5FE2" w:rsidRDefault="0059008E" w:rsidP="00C00CC1">
      <w:pPr>
        <w:jc w:val="both"/>
        <w:rPr>
          <w:rFonts w:eastAsia="SimSun"/>
          <w:b/>
          <w:color w:val="000000" w:themeColor="text1"/>
          <w:lang w:eastAsia="zh-CN"/>
        </w:rPr>
      </w:pPr>
      <w:r>
        <w:rPr>
          <w:rFonts w:eastAsia="SimSun"/>
          <w:b/>
          <w:lang w:eastAsia="zh-CN"/>
        </w:rPr>
        <w:t>Proposal 4: PDCCH monitoring for slot-boundary-aligned PDSCH allocation and non-slot-boundary-aligned PDSCH allocation should be considered separately.</w:t>
      </w:r>
    </w:p>
    <w:p w14:paraId="7323A042" w14:textId="77777777" w:rsidR="0059008E" w:rsidRDefault="0059008E" w:rsidP="0059008E">
      <w:pPr>
        <w:tabs>
          <w:tab w:val="num" w:pos="2160"/>
        </w:tabs>
        <w:jc w:val="both"/>
        <w:rPr>
          <w:b/>
        </w:rPr>
      </w:pPr>
      <w:r w:rsidRPr="00782710">
        <w:rPr>
          <w:rFonts w:eastAsia="SimSun"/>
          <w:b/>
          <w:lang w:eastAsia="zh-CN"/>
        </w:rPr>
        <w:t xml:space="preserve">Proposal </w:t>
      </w:r>
      <w:r>
        <w:rPr>
          <w:rFonts w:eastAsia="SimSun"/>
          <w:b/>
          <w:lang w:eastAsia="zh-CN"/>
        </w:rPr>
        <w:t>5</w:t>
      </w:r>
      <w:r w:rsidRPr="00782710">
        <w:rPr>
          <w:rFonts w:eastAsia="SimSun"/>
          <w:b/>
          <w:lang w:eastAsia="zh-CN"/>
        </w:rPr>
        <w:t>:</w:t>
      </w:r>
      <w:r>
        <w:rPr>
          <w:rFonts w:eastAsia="SimSun"/>
          <w:b/>
          <w:lang w:eastAsia="zh-CN"/>
        </w:rPr>
        <w:t xml:space="preserve"> </w:t>
      </w:r>
      <w:r>
        <w:rPr>
          <w:b/>
        </w:rPr>
        <w:t>Initial signal for DL transmission burst detection should be sequence based signal that allows low detection complexity.</w:t>
      </w:r>
    </w:p>
    <w:p w14:paraId="48EC41FF" w14:textId="4004F256" w:rsidR="00016084" w:rsidRPr="0059008E" w:rsidRDefault="0059008E" w:rsidP="0059008E">
      <w:pPr>
        <w:rPr>
          <w:rFonts w:eastAsia="SimSun"/>
          <w:b/>
          <w:lang w:eastAsia="zh-CN"/>
        </w:rPr>
      </w:pPr>
      <w:r>
        <w:rPr>
          <w:b/>
        </w:rPr>
        <w:t>Proposal 6: Performance comparisons between initial signal candidates should be evaluated. Performance metrics should include detection rate, false alarm rate, detection complexity, and UE power consumption.</w:t>
      </w:r>
    </w:p>
    <w:p w14:paraId="3516B4F3" w14:textId="77777777" w:rsidR="00C01C97" w:rsidRPr="00C91077" w:rsidRDefault="00C01C97" w:rsidP="00C01C97">
      <w:pPr>
        <w:pStyle w:val="Heading1"/>
        <w:numPr>
          <w:ilvl w:val="0"/>
          <w:numId w:val="5"/>
        </w:numPr>
        <w:spacing w:after="120"/>
        <w:ind w:right="288"/>
      </w:pPr>
      <w:r>
        <w:t>References</w:t>
      </w:r>
    </w:p>
    <w:p w14:paraId="5FF86AC0" w14:textId="33F0055E" w:rsidR="00C01C97" w:rsidRDefault="00F769D8" w:rsidP="00F769D8">
      <w:pPr>
        <w:numPr>
          <w:ilvl w:val="0"/>
          <w:numId w:val="10"/>
        </w:numPr>
      </w:pPr>
      <w:bookmarkStart w:id="8" w:name="_Ref528853922"/>
      <w:bookmarkStart w:id="9" w:name="_Ref481596356"/>
      <w:bookmarkStart w:id="10" w:name="_Ref481781528"/>
      <w:bookmarkStart w:id="11" w:name="_Ref481782557"/>
      <w:bookmarkStart w:id="12" w:name="_Ref534978969"/>
      <w:r>
        <w:t>RP-182878</w:t>
      </w:r>
      <w:r w:rsidR="00C01C97">
        <w:t>, “</w:t>
      </w:r>
      <w:r w:rsidRPr="00F769D8">
        <w:t>New WID on NR-based Access to Unlicensed Spectrum</w:t>
      </w:r>
      <w:r w:rsidR="00C01C97" w:rsidRPr="00A05538">
        <w:t xml:space="preserve">”, </w:t>
      </w:r>
      <w:r>
        <w:t>Qualcomm Inc</w:t>
      </w:r>
      <w:bookmarkEnd w:id="8"/>
      <w:r>
        <w:t>.</w:t>
      </w:r>
      <w:bookmarkEnd w:id="12"/>
    </w:p>
    <w:p w14:paraId="1A0ABEAB" w14:textId="2DBB8FE4" w:rsidR="00F769D8" w:rsidRDefault="00F769D8" w:rsidP="00F769D8">
      <w:pPr>
        <w:numPr>
          <w:ilvl w:val="0"/>
          <w:numId w:val="10"/>
        </w:numPr>
      </w:pPr>
      <w:bookmarkStart w:id="13" w:name="_Ref510782313"/>
      <w:bookmarkStart w:id="14" w:name="_Ref528834416"/>
      <w:bookmarkStart w:id="15" w:name="_Ref534978997"/>
      <w:r>
        <w:t>TR 38.889, “</w:t>
      </w:r>
      <w:r w:rsidRPr="00F769D8">
        <w:t>Study on NR-based Access to Unlicensed Spectrum</w:t>
      </w:r>
      <w:r>
        <w:t>”, December 2018, V 1.1.0.</w:t>
      </w:r>
      <w:bookmarkEnd w:id="15"/>
    </w:p>
    <w:p w14:paraId="7C847424" w14:textId="40117C85" w:rsidR="00122B31" w:rsidRPr="0059008E" w:rsidRDefault="009776BF" w:rsidP="0059008E">
      <w:pPr>
        <w:numPr>
          <w:ilvl w:val="0"/>
          <w:numId w:val="10"/>
        </w:numPr>
      </w:pPr>
      <w:bookmarkStart w:id="16" w:name="_Ref534896280"/>
      <w:bookmarkEnd w:id="13"/>
      <w:bookmarkEnd w:id="14"/>
      <w:r>
        <w:t>R1-1900190, “Wideband Operation for NR-U”, Mediatek Inc.</w:t>
      </w:r>
      <w:bookmarkEnd w:id="9"/>
      <w:bookmarkEnd w:id="10"/>
      <w:bookmarkEnd w:id="11"/>
      <w:bookmarkEnd w:id="16"/>
    </w:p>
    <w:sectPr w:rsidR="00122B31" w:rsidRPr="0059008E"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DD70E" w14:textId="77777777" w:rsidR="00635D97" w:rsidRDefault="00635D97">
      <w:r>
        <w:separator/>
      </w:r>
    </w:p>
  </w:endnote>
  <w:endnote w:type="continuationSeparator" w:id="0">
    <w:p w14:paraId="3AA5F4CB" w14:textId="77777777" w:rsidR="00635D97" w:rsidRDefault="0063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1AFA2" w14:textId="77777777" w:rsidR="00635D97" w:rsidRDefault="00635D97">
      <w:r>
        <w:separator/>
      </w:r>
    </w:p>
  </w:footnote>
  <w:footnote w:type="continuationSeparator" w:id="0">
    <w:p w14:paraId="13E4A88C" w14:textId="77777777" w:rsidR="00635D97" w:rsidRDefault="00635D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81B26"/>
    <w:multiLevelType w:val="hybridMultilevel"/>
    <w:tmpl w:val="7ED08166"/>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6252EAB"/>
    <w:multiLevelType w:val="hybridMultilevel"/>
    <w:tmpl w:val="1ECA80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8327E"/>
    <w:multiLevelType w:val="hybridMultilevel"/>
    <w:tmpl w:val="9DAAE9AA"/>
    <w:lvl w:ilvl="0" w:tplc="E460F0A8">
      <w:start w:val="1"/>
      <w:numFmt w:val="bullet"/>
      <w:lvlText w:val="▪"/>
      <w:lvlJc w:val="left"/>
      <w:pPr>
        <w:tabs>
          <w:tab w:val="num" w:pos="720"/>
        </w:tabs>
        <w:ind w:left="720" w:hanging="360"/>
      </w:pPr>
      <w:rPr>
        <w:rFonts w:ascii="Lucida Grande" w:hAnsi="Lucida Grande" w:hint="default"/>
      </w:rPr>
    </w:lvl>
    <w:lvl w:ilvl="1" w:tplc="225A58C4" w:tentative="1">
      <w:start w:val="1"/>
      <w:numFmt w:val="bullet"/>
      <w:lvlText w:val="▪"/>
      <w:lvlJc w:val="left"/>
      <w:pPr>
        <w:tabs>
          <w:tab w:val="num" w:pos="1440"/>
        </w:tabs>
        <w:ind w:left="1440" w:hanging="360"/>
      </w:pPr>
      <w:rPr>
        <w:rFonts w:ascii="Lucida Grande" w:hAnsi="Lucida Grande" w:hint="default"/>
      </w:rPr>
    </w:lvl>
    <w:lvl w:ilvl="2" w:tplc="C39E0C04" w:tentative="1">
      <w:start w:val="1"/>
      <w:numFmt w:val="bullet"/>
      <w:lvlText w:val="▪"/>
      <w:lvlJc w:val="left"/>
      <w:pPr>
        <w:tabs>
          <w:tab w:val="num" w:pos="2160"/>
        </w:tabs>
        <w:ind w:left="2160" w:hanging="360"/>
      </w:pPr>
      <w:rPr>
        <w:rFonts w:ascii="Lucida Grande" w:hAnsi="Lucida Grande" w:hint="default"/>
      </w:rPr>
    </w:lvl>
    <w:lvl w:ilvl="3" w:tplc="5492CD62" w:tentative="1">
      <w:start w:val="1"/>
      <w:numFmt w:val="bullet"/>
      <w:lvlText w:val="▪"/>
      <w:lvlJc w:val="left"/>
      <w:pPr>
        <w:tabs>
          <w:tab w:val="num" w:pos="2880"/>
        </w:tabs>
        <w:ind w:left="2880" w:hanging="360"/>
      </w:pPr>
      <w:rPr>
        <w:rFonts w:ascii="Lucida Grande" w:hAnsi="Lucida Grande" w:hint="default"/>
      </w:rPr>
    </w:lvl>
    <w:lvl w:ilvl="4" w:tplc="DBE80988" w:tentative="1">
      <w:start w:val="1"/>
      <w:numFmt w:val="bullet"/>
      <w:lvlText w:val="▪"/>
      <w:lvlJc w:val="left"/>
      <w:pPr>
        <w:tabs>
          <w:tab w:val="num" w:pos="3600"/>
        </w:tabs>
        <w:ind w:left="3600" w:hanging="360"/>
      </w:pPr>
      <w:rPr>
        <w:rFonts w:ascii="Lucida Grande" w:hAnsi="Lucida Grande" w:hint="default"/>
      </w:rPr>
    </w:lvl>
    <w:lvl w:ilvl="5" w:tplc="F3D6E23E" w:tentative="1">
      <w:start w:val="1"/>
      <w:numFmt w:val="bullet"/>
      <w:lvlText w:val="▪"/>
      <w:lvlJc w:val="left"/>
      <w:pPr>
        <w:tabs>
          <w:tab w:val="num" w:pos="4320"/>
        </w:tabs>
        <w:ind w:left="4320" w:hanging="360"/>
      </w:pPr>
      <w:rPr>
        <w:rFonts w:ascii="Lucida Grande" w:hAnsi="Lucida Grande" w:hint="default"/>
      </w:rPr>
    </w:lvl>
    <w:lvl w:ilvl="6" w:tplc="E0CA5AD4" w:tentative="1">
      <w:start w:val="1"/>
      <w:numFmt w:val="bullet"/>
      <w:lvlText w:val="▪"/>
      <w:lvlJc w:val="left"/>
      <w:pPr>
        <w:tabs>
          <w:tab w:val="num" w:pos="5040"/>
        </w:tabs>
        <w:ind w:left="5040" w:hanging="360"/>
      </w:pPr>
      <w:rPr>
        <w:rFonts w:ascii="Lucida Grande" w:hAnsi="Lucida Grande" w:hint="default"/>
      </w:rPr>
    </w:lvl>
    <w:lvl w:ilvl="7" w:tplc="00528140" w:tentative="1">
      <w:start w:val="1"/>
      <w:numFmt w:val="bullet"/>
      <w:lvlText w:val="▪"/>
      <w:lvlJc w:val="left"/>
      <w:pPr>
        <w:tabs>
          <w:tab w:val="num" w:pos="5760"/>
        </w:tabs>
        <w:ind w:left="5760" w:hanging="360"/>
      </w:pPr>
      <w:rPr>
        <w:rFonts w:ascii="Lucida Grande" w:hAnsi="Lucida Grande" w:hint="default"/>
      </w:rPr>
    </w:lvl>
    <w:lvl w:ilvl="8" w:tplc="08E0C59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E351339"/>
    <w:multiLevelType w:val="hybridMultilevel"/>
    <w:tmpl w:val="2DA20C4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7D95E7A"/>
    <w:multiLevelType w:val="hybridMultilevel"/>
    <w:tmpl w:val="6C64B1D4"/>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23338"/>
    <w:multiLevelType w:val="hybridMultilevel"/>
    <w:tmpl w:val="77BA9836"/>
    <w:lvl w:ilvl="0" w:tplc="70BEAD2C">
      <w:start w:val="1"/>
      <w:numFmt w:val="bullet"/>
      <w:lvlText w:val="•"/>
      <w:lvlJc w:val="left"/>
      <w:pPr>
        <w:ind w:left="720" w:hanging="360"/>
      </w:pPr>
      <w:rPr>
        <w:rFonts w:ascii="Arial" w:hAnsi="Arial" w:cs="Times New Roman" w:hint="default"/>
      </w:rPr>
    </w:lvl>
    <w:lvl w:ilvl="1" w:tplc="70BEAD2C">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2B70A8"/>
    <w:multiLevelType w:val="hybridMultilevel"/>
    <w:tmpl w:val="517C7DEA"/>
    <w:lvl w:ilvl="0" w:tplc="1EFC2ADE">
      <w:start w:val="1"/>
      <w:numFmt w:val="bullet"/>
      <w:lvlText w:val="▪"/>
      <w:lvlJc w:val="left"/>
      <w:pPr>
        <w:tabs>
          <w:tab w:val="num" w:pos="720"/>
        </w:tabs>
        <w:ind w:left="720" w:hanging="360"/>
      </w:pPr>
      <w:rPr>
        <w:rFonts w:ascii="Lucida Grande" w:hAnsi="Lucida Grande" w:hint="default"/>
      </w:rPr>
    </w:lvl>
    <w:lvl w:ilvl="1" w:tplc="CDA4970E" w:tentative="1">
      <w:start w:val="1"/>
      <w:numFmt w:val="bullet"/>
      <w:lvlText w:val="▪"/>
      <w:lvlJc w:val="left"/>
      <w:pPr>
        <w:tabs>
          <w:tab w:val="num" w:pos="1440"/>
        </w:tabs>
        <w:ind w:left="1440" w:hanging="360"/>
      </w:pPr>
      <w:rPr>
        <w:rFonts w:ascii="Lucida Grande" w:hAnsi="Lucida Grande" w:hint="default"/>
      </w:rPr>
    </w:lvl>
    <w:lvl w:ilvl="2" w:tplc="9C54B5A8" w:tentative="1">
      <w:start w:val="1"/>
      <w:numFmt w:val="bullet"/>
      <w:lvlText w:val="▪"/>
      <w:lvlJc w:val="left"/>
      <w:pPr>
        <w:tabs>
          <w:tab w:val="num" w:pos="2160"/>
        </w:tabs>
        <w:ind w:left="2160" w:hanging="360"/>
      </w:pPr>
      <w:rPr>
        <w:rFonts w:ascii="Lucida Grande" w:hAnsi="Lucida Grande" w:hint="default"/>
      </w:rPr>
    </w:lvl>
    <w:lvl w:ilvl="3" w:tplc="9CD0564A" w:tentative="1">
      <w:start w:val="1"/>
      <w:numFmt w:val="bullet"/>
      <w:lvlText w:val="▪"/>
      <w:lvlJc w:val="left"/>
      <w:pPr>
        <w:tabs>
          <w:tab w:val="num" w:pos="2880"/>
        </w:tabs>
        <w:ind w:left="2880" w:hanging="360"/>
      </w:pPr>
      <w:rPr>
        <w:rFonts w:ascii="Lucida Grande" w:hAnsi="Lucida Grande" w:hint="default"/>
      </w:rPr>
    </w:lvl>
    <w:lvl w:ilvl="4" w:tplc="AA029654" w:tentative="1">
      <w:start w:val="1"/>
      <w:numFmt w:val="bullet"/>
      <w:lvlText w:val="▪"/>
      <w:lvlJc w:val="left"/>
      <w:pPr>
        <w:tabs>
          <w:tab w:val="num" w:pos="3600"/>
        </w:tabs>
        <w:ind w:left="3600" w:hanging="360"/>
      </w:pPr>
      <w:rPr>
        <w:rFonts w:ascii="Lucida Grande" w:hAnsi="Lucida Grande" w:hint="default"/>
      </w:rPr>
    </w:lvl>
    <w:lvl w:ilvl="5" w:tplc="BBECE140" w:tentative="1">
      <w:start w:val="1"/>
      <w:numFmt w:val="bullet"/>
      <w:lvlText w:val="▪"/>
      <w:lvlJc w:val="left"/>
      <w:pPr>
        <w:tabs>
          <w:tab w:val="num" w:pos="4320"/>
        </w:tabs>
        <w:ind w:left="4320" w:hanging="360"/>
      </w:pPr>
      <w:rPr>
        <w:rFonts w:ascii="Lucida Grande" w:hAnsi="Lucida Grande" w:hint="default"/>
      </w:rPr>
    </w:lvl>
    <w:lvl w:ilvl="6" w:tplc="10E69EDA" w:tentative="1">
      <w:start w:val="1"/>
      <w:numFmt w:val="bullet"/>
      <w:lvlText w:val="▪"/>
      <w:lvlJc w:val="left"/>
      <w:pPr>
        <w:tabs>
          <w:tab w:val="num" w:pos="5040"/>
        </w:tabs>
        <w:ind w:left="5040" w:hanging="360"/>
      </w:pPr>
      <w:rPr>
        <w:rFonts w:ascii="Lucida Grande" w:hAnsi="Lucida Grande" w:hint="default"/>
      </w:rPr>
    </w:lvl>
    <w:lvl w:ilvl="7" w:tplc="8C5C3FA4" w:tentative="1">
      <w:start w:val="1"/>
      <w:numFmt w:val="bullet"/>
      <w:lvlText w:val="▪"/>
      <w:lvlJc w:val="left"/>
      <w:pPr>
        <w:tabs>
          <w:tab w:val="num" w:pos="5760"/>
        </w:tabs>
        <w:ind w:left="5760" w:hanging="360"/>
      </w:pPr>
      <w:rPr>
        <w:rFonts w:ascii="Lucida Grande" w:hAnsi="Lucida Grande" w:hint="default"/>
      </w:rPr>
    </w:lvl>
    <w:lvl w:ilvl="8" w:tplc="07BE6EA0" w:tentative="1">
      <w:start w:val="1"/>
      <w:numFmt w:val="bullet"/>
      <w:lvlText w:val="▪"/>
      <w:lvlJc w:val="left"/>
      <w:pPr>
        <w:tabs>
          <w:tab w:val="num" w:pos="6480"/>
        </w:tabs>
        <w:ind w:left="6480" w:hanging="360"/>
      </w:pPr>
      <w:rPr>
        <w:rFonts w:ascii="Lucida Grande" w:hAnsi="Lucida Grande" w:hint="default"/>
      </w:rPr>
    </w:lvl>
  </w:abstractNum>
  <w:abstractNum w:abstractNumId="16"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7E089A"/>
    <w:multiLevelType w:val="hybridMultilevel"/>
    <w:tmpl w:val="FD348152"/>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62510FD"/>
    <w:multiLevelType w:val="hybridMultilevel"/>
    <w:tmpl w:val="D96A2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2679C"/>
    <w:multiLevelType w:val="hybridMultilevel"/>
    <w:tmpl w:val="4182A9A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313102E"/>
    <w:multiLevelType w:val="hybridMultilevel"/>
    <w:tmpl w:val="B8E6E04C"/>
    <w:lvl w:ilvl="0" w:tplc="6FEE601E">
      <w:start w:val="1"/>
      <w:numFmt w:val="bullet"/>
      <w:lvlText w:val="•"/>
      <w:lvlJc w:val="left"/>
      <w:pPr>
        <w:tabs>
          <w:tab w:val="num" w:pos="720"/>
        </w:tabs>
        <w:ind w:left="720" w:hanging="360"/>
      </w:pPr>
      <w:rPr>
        <w:rFonts w:ascii="Arial" w:hAnsi="Arial" w:hint="default"/>
      </w:rPr>
    </w:lvl>
    <w:lvl w:ilvl="1" w:tplc="C3007E62">
      <w:start w:val="1"/>
      <w:numFmt w:val="bullet"/>
      <w:lvlText w:val="•"/>
      <w:lvlJc w:val="left"/>
      <w:pPr>
        <w:tabs>
          <w:tab w:val="num" w:pos="1440"/>
        </w:tabs>
        <w:ind w:left="1440" w:hanging="360"/>
      </w:pPr>
      <w:rPr>
        <w:rFonts w:ascii="Arial" w:hAnsi="Arial" w:hint="default"/>
      </w:rPr>
    </w:lvl>
    <w:lvl w:ilvl="2" w:tplc="0DD4D86E" w:tentative="1">
      <w:start w:val="1"/>
      <w:numFmt w:val="bullet"/>
      <w:lvlText w:val="•"/>
      <w:lvlJc w:val="left"/>
      <w:pPr>
        <w:tabs>
          <w:tab w:val="num" w:pos="2160"/>
        </w:tabs>
        <w:ind w:left="2160" w:hanging="360"/>
      </w:pPr>
      <w:rPr>
        <w:rFonts w:ascii="Arial" w:hAnsi="Arial" w:hint="default"/>
      </w:rPr>
    </w:lvl>
    <w:lvl w:ilvl="3" w:tplc="709EFB04" w:tentative="1">
      <w:start w:val="1"/>
      <w:numFmt w:val="bullet"/>
      <w:lvlText w:val="•"/>
      <w:lvlJc w:val="left"/>
      <w:pPr>
        <w:tabs>
          <w:tab w:val="num" w:pos="2880"/>
        </w:tabs>
        <w:ind w:left="2880" w:hanging="360"/>
      </w:pPr>
      <w:rPr>
        <w:rFonts w:ascii="Arial" w:hAnsi="Arial" w:hint="default"/>
      </w:rPr>
    </w:lvl>
    <w:lvl w:ilvl="4" w:tplc="5A4447BC" w:tentative="1">
      <w:start w:val="1"/>
      <w:numFmt w:val="bullet"/>
      <w:lvlText w:val="•"/>
      <w:lvlJc w:val="left"/>
      <w:pPr>
        <w:tabs>
          <w:tab w:val="num" w:pos="3600"/>
        </w:tabs>
        <w:ind w:left="3600" w:hanging="360"/>
      </w:pPr>
      <w:rPr>
        <w:rFonts w:ascii="Arial" w:hAnsi="Arial" w:hint="default"/>
      </w:rPr>
    </w:lvl>
    <w:lvl w:ilvl="5" w:tplc="8B4454D6" w:tentative="1">
      <w:start w:val="1"/>
      <w:numFmt w:val="bullet"/>
      <w:lvlText w:val="•"/>
      <w:lvlJc w:val="left"/>
      <w:pPr>
        <w:tabs>
          <w:tab w:val="num" w:pos="4320"/>
        </w:tabs>
        <w:ind w:left="4320" w:hanging="360"/>
      </w:pPr>
      <w:rPr>
        <w:rFonts w:ascii="Arial" w:hAnsi="Arial" w:hint="default"/>
      </w:rPr>
    </w:lvl>
    <w:lvl w:ilvl="6" w:tplc="11600F1A" w:tentative="1">
      <w:start w:val="1"/>
      <w:numFmt w:val="bullet"/>
      <w:lvlText w:val="•"/>
      <w:lvlJc w:val="left"/>
      <w:pPr>
        <w:tabs>
          <w:tab w:val="num" w:pos="5040"/>
        </w:tabs>
        <w:ind w:left="5040" w:hanging="360"/>
      </w:pPr>
      <w:rPr>
        <w:rFonts w:ascii="Arial" w:hAnsi="Arial" w:hint="default"/>
      </w:rPr>
    </w:lvl>
    <w:lvl w:ilvl="7" w:tplc="DA126EDA" w:tentative="1">
      <w:start w:val="1"/>
      <w:numFmt w:val="bullet"/>
      <w:lvlText w:val="•"/>
      <w:lvlJc w:val="left"/>
      <w:pPr>
        <w:tabs>
          <w:tab w:val="num" w:pos="5760"/>
        </w:tabs>
        <w:ind w:left="5760" w:hanging="360"/>
      </w:pPr>
      <w:rPr>
        <w:rFonts w:ascii="Arial" w:hAnsi="Arial" w:hint="default"/>
      </w:rPr>
    </w:lvl>
    <w:lvl w:ilvl="8" w:tplc="08EA4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B63DC"/>
    <w:multiLevelType w:val="hybridMultilevel"/>
    <w:tmpl w:val="5E54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32" w15:restartNumberingAfterBreak="0">
    <w:nsid w:val="6F740865"/>
    <w:multiLevelType w:val="hybridMultilevel"/>
    <w:tmpl w:val="50F89518"/>
    <w:lvl w:ilvl="0" w:tplc="A314B2F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C60AFA"/>
    <w:multiLevelType w:val="hybridMultilevel"/>
    <w:tmpl w:val="A3D244D4"/>
    <w:lvl w:ilvl="0" w:tplc="DA38403E">
      <w:start w:val="1"/>
      <w:numFmt w:val="bullet"/>
      <w:lvlText w:val="▪"/>
      <w:lvlJc w:val="left"/>
      <w:pPr>
        <w:tabs>
          <w:tab w:val="num" w:pos="720"/>
        </w:tabs>
        <w:ind w:left="720" w:hanging="360"/>
      </w:pPr>
      <w:rPr>
        <w:rFonts w:ascii="Lucida Grande" w:hAnsi="Lucida Grande" w:hint="default"/>
      </w:rPr>
    </w:lvl>
    <w:lvl w:ilvl="1" w:tplc="E282402A" w:tentative="1">
      <w:start w:val="1"/>
      <w:numFmt w:val="bullet"/>
      <w:lvlText w:val="▪"/>
      <w:lvlJc w:val="left"/>
      <w:pPr>
        <w:tabs>
          <w:tab w:val="num" w:pos="1440"/>
        </w:tabs>
        <w:ind w:left="1440" w:hanging="360"/>
      </w:pPr>
      <w:rPr>
        <w:rFonts w:ascii="Lucida Grande" w:hAnsi="Lucida Grande" w:hint="default"/>
      </w:rPr>
    </w:lvl>
    <w:lvl w:ilvl="2" w:tplc="0206D81A" w:tentative="1">
      <w:start w:val="1"/>
      <w:numFmt w:val="bullet"/>
      <w:lvlText w:val="▪"/>
      <w:lvlJc w:val="left"/>
      <w:pPr>
        <w:tabs>
          <w:tab w:val="num" w:pos="2160"/>
        </w:tabs>
        <w:ind w:left="2160" w:hanging="360"/>
      </w:pPr>
      <w:rPr>
        <w:rFonts w:ascii="Lucida Grande" w:hAnsi="Lucida Grande" w:hint="default"/>
      </w:rPr>
    </w:lvl>
    <w:lvl w:ilvl="3" w:tplc="0748AFE2" w:tentative="1">
      <w:start w:val="1"/>
      <w:numFmt w:val="bullet"/>
      <w:lvlText w:val="▪"/>
      <w:lvlJc w:val="left"/>
      <w:pPr>
        <w:tabs>
          <w:tab w:val="num" w:pos="2880"/>
        </w:tabs>
        <w:ind w:left="2880" w:hanging="360"/>
      </w:pPr>
      <w:rPr>
        <w:rFonts w:ascii="Lucida Grande" w:hAnsi="Lucida Grande" w:hint="default"/>
      </w:rPr>
    </w:lvl>
    <w:lvl w:ilvl="4" w:tplc="DC1C9DA8" w:tentative="1">
      <w:start w:val="1"/>
      <w:numFmt w:val="bullet"/>
      <w:lvlText w:val="▪"/>
      <w:lvlJc w:val="left"/>
      <w:pPr>
        <w:tabs>
          <w:tab w:val="num" w:pos="3600"/>
        </w:tabs>
        <w:ind w:left="3600" w:hanging="360"/>
      </w:pPr>
      <w:rPr>
        <w:rFonts w:ascii="Lucida Grande" w:hAnsi="Lucida Grande" w:hint="default"/>
      </w:rPr>
    </w:lvl>
    <w:lvl w:ilvl="5" w:tplc="C41AA4B6" w:tentative="1">
      <w:start w:val="1"/>
      <w:numFmt w:val="bullet"/>
      <w:lvlText w:val="▪"/>
      <w:lvlJc w:val="left"/>
      <w:pPr>
        <w:tabs>
          <w:tab w:val="num" w:pos="4320"/>
        </w:tabs>
        <w:ind w:left="4320" w:hanging="360"/>
      </w:pPr>
      <w:rPr>
        <w:rFonts w:ascii="Lucida Grande" w:hAnsi="Lucida Grande" w:hint="default"/>
      </w:rPr>
    </w:lvl>
    <w:lvl w:ilvl="6" w:tplc="6F523496" w:tentative="1">
      <w:start w:val="1"/>
      <w:numFmt w:val="bullet"/>
      <w:lvlText w:val="▪"/>
      <w:lvlJc w:val="left"/>
      <w:pPr>
        <w:tabs>
          <w:tab w:val="num" w:pos="5040"/>
        </w:tabs>
        <w:ind w:left="5040" w:hanging="360"/>
      </w:pPr>
      <w:rPr>
        <w:rFonts w:ascii="Lucida Grande" w:hAnsi="Lucida Grande" w:hint="default"/>
      </w:rPr>
    </w:lvl>
    <w:lvl w:ilvl="7" w:tplc="D7A68A3C" w:tentative="1">
      <w:start w:val="1"/>
      <w:numFmt w:val="bullet"/>
      <w:lvlText w:val="▪"/>
      <w:lvlJc w:val="left"/>
      <w:pPr>
        <w:tabs>
          <w:tab w:val="num" w:pos="5760"/>
        </w:tabs>
        <w:ind w:left="5760" w:hanging="360"/>
      </w:pPr>
      <w:rPr>
        <w:rFonts w:ascii="Lucida Grande" w:hAnsi="Lucida Grande" w:hint="default"/>
      </w:rPr>
    </w:lvl>
    <w:lvl w:ilvl="8" w:tplc="ADDEC262" w:tentative="1">
      <w:start w:val="1"/>
      <w:numFmt w:val="bullet"/>
      <w:lvlText w:val="▪"/>
      <w:lvlJc w:val="left"/>
      <w:pPr>
        <w:tabs>
          <w:tab w:val="num" w:pos="6480"/>
        </w:tabs>
        <w:ind w:left="6480" w:hanging="360"/>
      </w:pPr>
      <w:rPr>
        <w:rFonts w:ascii="Lucida Grande" w:hAnsi="Lucida Grande" w:hint="default"/>
      </w:rPr>
    </w:lvl>
  </w:abstractNum>
  <w:abstractNum w:abstractNumId="37" w15:restartNumberingAfterBreak="0">
    <w:nsid w:val="7EDA3A3F"/>
    <w:multiLevelType w:val="hybridMultilevel"/>
    <w:tmpl w:val="99BE779E"/>
    <w:lvl w:ilvl="0" w:tplc="0409000F">
      <w:start w:val="1"/>
      <w:numFmt w:val="decimal"/>
      <w:lvlText w:val="%1."/>
      <w:lvlJc w:val="left"/>
      <w:pPr>
        <w:ind w:left="872" w:hanging="360"/>
      </w:p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38"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1"/>
  </w:num>
  <w:num w:numId="3">
    <w:abstractNumId w:val="18"/>
  </w:num>
  <w:num w:numId="4">
    <w:abstractNumId w:val="7"/>
  </w:num>
  <w:num w:numId="5">
    <w:abstractNumId w:val="11"/>
  </w:num>
  <w:num w:numId="6">
    <w:abstractNumId w:val="9"/>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0"/>
  </w:num>
  <w:num w:numId="10">
    <w:abstractNumId w:val="12"/>
  </w:num>
  <w:num w:numId="11">
    <w:abstractNumId w:val="3"/>
  </w:num>
  <w:num w:numId="12">
    <w:abstractNumId w:val="1"/>
  </w:num>
  <w:num w:numId="13">
    <w:abstractNumId w:val="34"/>
  </w:num>
  <w:num w:numId="14">
    <w:abstractNumId w:val="35"/>
  </w:num>
  <w:num w:numId="15">
    <w:abstractNumId w:val="8"/>
  </w:num>
  <w:num w:numId="16">
    <w:abstractNumId w:val="28"/>
  </w:num>
  <w:num w:numId="17">
    <w:abstractNumId w:val="30"/>
  </w:num>
  <w:num w:numId="18">
    <w:abstractNumId w:val="13"/>
  </w:num>
  <w:num w:numId="19">
    <w:abstractNumId w:val="16"/>
  </w:num>
  <w:num w:numId="20">
    <w:abstractNumId w:val="6"/>
  </w:num>
  <w:num w:numId="21">
    <w:abstractNumId w:val="36"/>
  </w:num>
  <w:num w:numId="22">
    <w:abstractNumId w:val="15"/>
  </w:num>
  <w:num w:numId="23">
    <w:abstractNumId w:val="23"/>
  </w:num>
  <w:num w:numId="24">
    <w:abstractNumId w:val="25"/>
  </w:num>
  <w:num w:numId="25">
    <w:abstractNumId w:val="20"/>
  </w:num>
  <w:num w:numId="26">
    <w:abstractNumId w:val="14"/>
  </w:num>
  <w:num w:numId="27">
    <w:abstractNumId w:val="17"/>
  </w:num>
  <w:num w:numId="28">
    <w:abstractNumId w:val="19"/>
  </w:num>
  <w:num w:numId="29">
    <w:abstractNumId w:val="2"/>
  </w:num>
  <w:num w:numId="30">
    <w:abstractNumId w:val="38"/>
  </w:num>
  <w:num w:numId="31">
    <w:abstractNumId w:val="31"/>
  </w:num>
  <w:num w:numId="32">
    <w:abstractNumId w:val="27"/>
  </w:num>
  <w:num w:numId="33">
    <w:abstractNumId w:val="29"/>
  </w:num>
  <w:num w:numId="34">
    <w:abstractNumId w:val="37"/>
  </w:num>
  <w:num w:numId="35">
    <w:abstractNumId w:val="22"/>
  </w:num>
  <w:num w:numId="36">
    <w:abstractNumId w:val="10"/>
  </w:num>
  <w:num w:numId="37">
    <w:abstractNumId w:val="4"/>
  </w:num>
  <w:num w:numId="38">
    <w:abstractNumId w:val="24"/>
  </w:num>
  <w:num w:numId="39">
    <w:abstractNumId w:val="32"/>
  </w:num>
  <w:num w:numId="4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E72"/>
    <w:rsid w:val="00003079"/>
    <w:rsid w:val="00006925"/>
    <w:rsid w:val="00006B8B"/>
    <w:rsid w:val="000110AC"/>
    <w:rsid w:val="00015AE9"/>
    <w:rsid w:val="00016084"/>
    <w:rsid w:val="00016194"/>
    <w:rsid w:val="00016CE6"/>
    <w:rsid w:val="00020FD3"/>
    <w:rsid w:val="00021CC2"/>
    <w:rsid w:val="00021EE8"/>
    <w:rsid w:val="00021FE9"/>
    <w:rsid w:val="000315DA"/>
    <w:rsid w:val="00031647"/>
    <w:rsid w:val="00040278"/>
    <w:rsid w:val="00042295"/>
    <w:rsid w:val="00042D66"/>
    <w:rsid w:val="00043BE5"/>
    <w:rsid w:val="00045399"/>
    <w:rsid w:val="000457AE"/>
    <w:rsid w:val="00045845"/>
    <w:rsid w:val="00045C1B"/>
    <w:rsid w:val="00047056"/>
    <w:rsid w:val="00052194"/>
    <w:rsid w:val="00052330"/>
    <w:rsid w:val="00052AAF"/>
    <w:rsid w:val="00053F90"/>
    <w:rsid w:val="00055A41"/>
    <w:rsid w:val="00056607"/>
    <w:rsid w:val="00056B54"/>
    <w:rsid w:val="00056CC9"/>
    <w:rsid w:val="00057A5C"/>
    <w:rsid w:val="00057A8F"/>
    <w:rsid w:val="00057F8B"/>
    <w:rsid w:val="0006005A"/>
    <w:rsid w:val="000613A6"/>
    <w:rsid w:val="00061CB1"/>
    <w:rsid w:val="00062A93"/>
    <w:rsid w:val="000647C0"/>
    <w:rsid w:val="00065D70"/>
    <w:rsid w:val="00067A78"/>
    <w:rsid w:val="000705A4"/>
    <w:rsid w:val="00073BC3"/>
    <w:rsid w:val="00075251"/>
    <w:rsid w:val="00075540"/>
    <w:rsid w:val="000761F5"/>
    <w:rsid w:val="00076B98"/>
    <w:rsid w:val="000773DA"/>
    <w:rsid w:val="000804BA"/>
    <w:rsid w:val="00080D27"/>
    <w:rsid w:val="00083027"/>
    <w:rsid w:val="000833AD"/>
    <w:rsid w:val="0008343C"/>
    <w:rsid w:val="00084A7D"/>
    <w:rsid w:val="00087FA3"/>
    <w:rsid w:val="00090AC3"/>
    <w:rsid w:val="0009117E"/>
    <w:rsid w:val="00091C8A"/>
    <w:rsid w:val="0009381F"/>
    <w:rsid w:val="000955C4"/>
    <w:rsid w:val="000A3C08"/>
    <w:rsid w:val="000A471A"/>
    <w:rsid w:val="000A7446"/>
    <w:rsid w:val="000A7B1E"/>
    <w:rsid w:val="000B186C"/>
    <w:rsid w:val="000B3299"/>
    <w:rsid w:val="000B565C"/>
    <w:rsid w:val="000B7E80"/>
    <w:rsid w:val="000C1B39"/>
    <w:rsid w:val="000C47BF"/>
    <w:rsid w:val="000C498F"/>
    <w:rsid w:val="000C5611"/>
    <w:rsid w:val="000C632B"/>
    <w:rsid w:val="000C63C5"/>
    <w:rsid w:val="000C6F99"/>
    <w:rsid w:val="000C742C"/>
    <w:rsid w:val="000D19CD"/>
    <w:rsid w:val="000D21E2"/>
    <w:rsid w:val="000D2A94"/>
    <w:rsid w:val="000D47D9"/>
    <w:rsid w:val="000D62C5"/>
    <w:rsid w:val="000E13E3"/>
    <w:rsid w:val="000E4BCD"/>
    <w:rsid w:val="000E639C"/>
    <w:rsid w:val="000E6F8C"/>
    <w:rsid w:val="000F117E"/>
    <w:rsid w:val="000F334D"/>
    <w:rsid w:val="000F4C3D"/>
    <w:rsid w:val="000F5FE4"/>
    <w:rsid w:val="000F757F"/>
    <w:rsid w:val="00100ACC"/>
    <w:rsid w:val="001036C1"/>
    <w:rsid w:val="00105D24"/>
    <w:rsid w:val="00105E44"/>
    <w:rsid w:val="00110248"/>
    <w:rsid w:val="00110756"/>
    <w:rsid w:val="00111E05"/>
    <w:rsid w:val="00112895"/>
    <w:rsid w:val="00114BF2"/>
    <w:rsid w:val="00117C64"/>
    <w:rsid w:val="001200CB"/>
    <w:rsid w:val="001209E5"/>
    <w:rsid w:val="00121200"/>
    <w:rsid w:val="001225B7"/>
    <w:rsid w:val="00122B31"/>
    <w:rsid w:val="001236A4"/>
    <w:rsid w:val="00123908"/>
    <w:rsid w:val="00125716"/>
    <w:rsid w:val="00131534"/>
    <w:rsid w:val="00135ADB"/>
    <w:rsid w:val="00135CC2"/>
    <w:rsid w:val="00135D0C"/>
    <w:rsid w:val="00136128"/>
    <w:rsid w:val="00137AC0"/>
    <w:rsid w:val="00137F31"/>
    <w:rsid w:val="00137F3D"/>
    <w:rsid w:val="00137F5E"/>
    <w:rsid w:val="0014305D"/>
    <w:rsid w:val="00146391"/>
    <w:rsid w:val="00146558"/>
    <w:rsid w:val="001479BA"/>
    <w:rsid w:val="00152DB4"/>
    <w:rsid w:val="00153063"/>
    <w:rsid w:val="00156128"/>
    <w:rsid w:val="001601AD"/>
    <w:rsid w:val="00160343"/>
    <w:rsid w:val="00161062"/>
    <w:rsid w:val="001617AC"/>
    <w:rsid w:val="0016297C"/>
    <w:rsid w:val="00164ED6"/>
    <w:rsid w:val="00165934"/>
    <w:rsid w:val="001667BD"/>
    <w:rsid w:val="00167084"/>
    <w:rsid w:val="00173DFD"/>
    <w:rsid w:val="00180126"/>
    <w:rsid w:val="00180E36"/>
    <w:rsid w:val="0018358E"/>
    <w:rsid w:val="00186D4C"/>
    <w:rsid w:val="00190CBC"/>
    <w:rsid w:val="00190D08"/>
    <w:rsid w:val="00190DFE"/>
    <w:rsid w:val="00194682"/>
    <w:rsid w:val="001948C2"/>
    <w:rsid w:val="00195717"/>
    <w:rsid w:val="001A0B1E"/>
    <w:rsid w:val="001A28FE"/>
    <w:rsid w:val="001A2FF5"/>
    <w:rsid w:val="001A7B82"/>
    <w:rsid w:val="001B2B00"/>
    <w:rsid w:val="001B39A4"/>
    <w:rsid w:val="001B4281"/>
    <w:rsid w:val="001B5E24"/>
    <w:rsid w:val="001C101A"/>
    <w:rsid w:val="001C15F6"/>
    <w:rsid w:val="001C17C4"/>
    <w:rsid w:val="001C5151"/>
    <w:rsid w:val="001C5FF7"/>
    <w:rsid w:val="001C7FAE"/>
    <w:rsid w:val="001D2C74"/>
    <w:rsid w:val="001D3D7B"/>
    <w:rsid w:val="001D6946"/>
    <w:rsid w:val="001D77D5"/>
    <w:rsid w:val="001E0B66"/>
    <w:rsid w:val="001E3EE1"/>
    <w:rsid w:val="001F0231"/>
    <w:rsid w:val="001F1B4A"/>
    <w:rsid w:val="001F24B6"/>
    <w:rsid w:val="001F6467"/>
    <w:rsid w:val="001F703D"/>
    <w:rsid w:val="00200275"/>
    <w:rsid w:val="00202D37"/>
    <w:rsid w:val="00204F59"/>
    <w:rsid w:val="00205B9A"/>
    <w:rsid w:val="00205D8B"/>
    <w:rsid w:val="002076C2"/>
    <w:rsid w:val="00210365"/>
    <w:rsid w:val="00210590"/>
    <w:rsid w:val="002106ED"/>
    <w:rsid w:val="002112B8"/>
    <w:rsid w:val="002127F6"/>
    <w:rsid w:val="002132C0"/>
    <w:rsid w:val="00221AE6"/>
    <w:rsid w:val="00230019"/>
    <w:rsid w:val="0023012B"/>
    <w:rsid w:val="002309F0"/>
    <w:rsid w:val="00235A20"/>
    <w:rsid w:val="00235FDB"/>
    <w:rsid w:val="00236AA8"/>
    <w:rsid w:val="00241112"/>
    <w:rsid w:val="00243DC2"/>
    <w:rsid w:val="00246837"/>
    <w:rsid w:val="00247F87"/>
    <w:rsid w:val="002538ED"/>
    <w:rsid w:val="002607F3"/>
    <w:rsid w:val="00261340"/>
    <w:rsid w:val="00261AAB"/>
    <w:rsid w:val="00261EF6"/>
    <w:rsid w:val="00263EEA"/>
    <w:rsid w:val="002648D9"/>
    <w:rsid w:val="002666EF"/>
    <w:rsid w:val="00267909"/>
    <w:rsid w:val="00271C64"/>
    <w:rsid w:val="0027235C"/>
    <w:rsid w:val="0027414C"/>
    <w:rsid w:val="00280103"/>
    <w:rsid w:val="00281EB7"/>
    <w:rsid w:val="002823E7"/>
    <w:rsid w:val="00290736"/>
    <w:rsid w:val="00290E8E"/>
    <w:rsid w:val="00292AB5"/>
    <w:rsid w:val="002946A4"/>
    <w:rsid w:val="002946C7"/>
    <w:rsid w:val="00295588"/>
    <w:rsid w:val="00297B83"/>
    <w:rsid w:val="002A0AD7"/>
    <w:rsid w:val="002A5FE2"/>
    <w:rsid w:val="002A7B32"/>
    <w:rsid w:val="002B2653"/>
    <w:rsid w:val="002B276E"/>
    <w:rsid w:val="002B364B"/>
    <w:rsid w:val="002B4A6F"/>
    <w:rsid w:val="002B4D54"/>
    <w:rsid w:val="002B6BF2"/>
    <w:rsid w:val="002B71A5"/>
    <w:rsid w:val="002B7A18"/>
    <w:rsid w:val="002C145E"/>
    <w:rsid w:val="002C4988"/>
    <w:rsid w:val="002C6E28"/>
    <w:rsid w:val="002C7BC1"/>
    <w:rsid w:val="002D182B"/>
    <w:rsid w:val="002D1B45"/>
    <w:rsid w:val="002D3847"/>
    <w:rsid w:val="002D4E8F"/>
    <w:rsid w:val="002E183C"/>
    <w:rsid w:val="002E1E30"/>
    <w:rsid w:val="002E20C2"/>
    <w:rsid w:val="002E4747"/>
    <w:rsid w:val="002E78BC"/>
    <w:rsid w:val="002F0B0B"/>
    <w:rsid w:val="002F4E48"/>
    <w:rsid w:val="002F610C"/>
    <w:rsid w:val="003027C8"/>
    <w:rsid w:val="00302A97"/>
    <w:rsid w:val="003030DA"/>
    <w:rsid w:val="00303C1F"/>
    <w:rsid w:val="00305D34"/>
    <w:rsid w:val="00311789"/>
    <w:rsid w:val="0031184B"/>
    <w:rsid w:val="003128C6"/>
    <w:rsid w:val="0031308F"/>
    <w:rsid w:val="00313CFE"/>
    <w:rsid w:val="003143D5"/>
    <w:rsid w:val="00314490"/>
    <w:rsid w:val="00314D2A"/>
    <w:rsid w:val="00315A08"/>
    <w:rsid w:val="00317608"/>
    <w:rsid w:val="00317EB4"/>
    <w:rsid w:val="00317F48"/>
    <w:rsid w:val="003214DD"/>
    <w:rsid w:val="00322050"/>
    <w:rsid w:val="00326615"/>
    <w:rsid w:val="003269F8"/>
    <w:rsid w:val="00327E72"/>
    <w:rsid w:val="00330F0B"/>
    <w:rsid w:val="00335660"/>
    <w:rsid w:val="00336533"/>
    <w:rsid w:val="003367E0"/>
    <w:rsid w:val="003374E0"/>
    <w:rsid w:val="00341882"/>
    <w:rsid w:val="0034247C"/>
    <w:rsid w:val="00343A2F"/>
    <w:rsid w:val="00345CE7"/>
    <w:rsid w:val="0034687F"/>
    <w:rsid w:val="0035139C"/>
    <w:rsid w:val="003521AD"/>
    <w:rsid w:val="00352C5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9DD"/>
    <w:rsid w:val="00392EFB"/>
    <w:rsid w:val="00393073"/>
    <w:rsid w:val="0039451F"/>
    <w:rsid w:val="00395F40"/>
    <w:rsid w:val="00397033"/>
    <w:rsid w:val="0039712C"/>
    <w:rsid w:val="003A1CA0"/>
    <w:rsid w:val="003A3717"/>
    <w:rsid w:val="003A373F"/>
    <w:rsid w:val="003A55B7"/>
    <w:rsid w:val="003A596C"/>
    <w:rsid w:val="003A6706"/>
    <w:rsid w:val="003B1C2E"/>
    <w:rsid w:val="003B30B2"/>
    <w:rsid w:val="003B4327"/>
    <w:rsid w:val="003B50D8"/>
    <w:rsid w:val="003B665E"/>
    <w:rsid w:val="003B7160"/>
    <w:rsid w:val="003B7C94"/>
    <w:rsid w:val="003B7F0F"/>
    <w:rsid w:val="003C053B"/>
    <w:rsid w:val="003C2775"/>
    <w:rsid w:val="003C74B3"/>
    <w:rsid w:val="003D063F"/>
    <w:rsid w:val="003D2687"/>
    <w:rsid w:val="003D46BE"/>
    <w:rsid w:val="003D46D1"/>
    <w:rsid w:val="003D4B3A"/>
    <w:rsid w:val="003D4BC8"/>
    <w:rsid w:val="003D51BD"/>
    <w:rsid w:val="003E7313"/>
    <w:rsid w:val="003F0808"/>
    <w:rsid w:val="003F1D19"/>
    <w:rsid w:val="003F1D8E"/>
    <w:rsid w:val="003F47CB"/>
    <w:rsid w:val="003F698B"/>
    <w:rsid w:val="004006F8"/>
    <w:rsid w:val="004063B2"/>
    <w:rsid w:val="004141EB"/>
    <w:rsid w:val="00414ACF"/>
    <w:rsid w:val="0041604B"/>
    <w:rsid w:val="004170CE"/>
    <w:rsid w:val="004171DB"/>
    <w:rsid w:val="00421346"/>
    <w:rsid w:val="0042691E"/>
    <w:rsid w:val="004269C1"/>
    <w:rsid w:val="00427180"/>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256C"/>
    <w:rsid w:val="004546B9"/>
    <w:rsid w:val="00455435"/>
    <w:rsid w:val="00456650"/>
    <w:rsid w:val="004570C2"/>
    <w:rsid w:val="004572F5"/>
    <w:rsid w:val="004607C3"/>
    <w:rsid w:val="00463383"/>
    <w:rsid w:val="00463C56"/>
    <w:rsid w:val="00466EAF"/>
    <w:rsid w:val="004706A4"/>
    <w:rsid w:val="00471ADC"/>
    <w:rsid w:val="004724D3"/>
    <w:rsid w:val="004726AB"/>
    <w:rsid w:val="004731A6"/>
    <w:rsid w:val="00474EA4"/>
    <w:rsid w:val="004750C2"/>
    <w:rsid w:val="00475214"/>
    <w:rsid w:val="00476CB2"/>
    <w:rsid w:val="00476D41"/>
    <w:rsid w:val="00480012"/>
    <w:rsid w:val="0048057D"/>
    <w:rsid w:val="00480C37"/>
    <w:rsid w:val="00480C51"/>
    <w:rsid w:val="0048132D"/>
    <w:rsid w:val="00483DAC"/>
    <w:rsid w:val="0048534D"/>
    <w:rsid w:val="00485C19"/>
    <w:rsid w:val="00486335"/>
    <w:rsid w:val="00487A22"/>
    <w:rsid w:val="00490857"/>
    <w:rsid w:val="00491024"/>
    <w:rsid w:val="004912B8"/>
    <w:rsid w:val="00492452"/>
    <w:rsid w:val="00492F85"/>
    <w:rsid w:val="0049335A"/>
    <w:rsid w:val="004963EA"/>
    <w:rsid w:val="00496643"/>
    <w:rsid w:val="00496FD4"/>
    <w:rsid w:val="004A182E"/>
    <w:rsid w:val="004A440A"/>
    <w:rsid w:val="004A5716"/>
    <w:rsid w:val="004A6738"/>
    <w:rsid w:val="004B0426"/>
    <w:rsid w:val="004B05A5"/>
    <w:rsid w:val="004B1775"/>
    <w:rsid w:val="004B45F3"/>
    <w:rsid w:val="004B4948"/>
    <w:rsid w:val="004B4EC9"/>
    <w:rsid w:val="004C00AD"/>
    <w:rsid w:val="004C0CB8"/>
    <w:rsid w:val="004C150F"/>
    <w:rsid w:val="004C15AF"/>
    <w:rsid w:val="004C4198"/>
    <w:rsid w:val="004C41F5"/>
    <w:rsid w:val="004C45F5"/>
    <w:rsid w:val="004C4D2D"/>
    <w:rsid w:val="004C5DAB"/>
    <w:rsid w:val="004C605B"/>
    <w:rsid w:val="004C60CF"/>
    <w:rsid w:val="004D0F00"/>
    <w:rsid w:val="004D13BD"/>
    <w:rsid w:val="004D2EC3"/>
    <w:rsid w:val="004D44EA"/>
    <w:rsid w:val="004D56D8"/>
    <w:rsid w:val="004E01EA"/>
    <w:rsid w:val="004E461C"/>
    <w:rsid w:val="004E5A17"/>
    <w:rsid w:val="004F16E7"/>
    <w:rsid w:val="004F2271"/>
    <w:rsid w:val="004F354A"/>
    <w:rsid w:val="004F6594"/>
    <w:rsid w:val="004F6D51"/>
    <w:rsid w:val="004F778F"/>
    <w:rsid w:val="0050174D"/>
    <w:rsid w:val="00501B78"/>
    <w:rsid w:val="00503D6B"/>
    <w:rsid w:val="00511BDD"/>
    <w:rsid w:val="0051330E"/>
    <w:rsid w:val="00513927"/>
    <w:rsid w:val="00517038"/>
    <w:rsid w:val="00522ED6"/>
    <w:rsid w:val="005242EF"/>
    <w:rsid w:val="00524DCF"/>
    <w:rsid w:val="00525433"/>
    <w:rsid w:val="00525D28"/>
    <w:rsid w:val="005273BD"/>
    <w:rsid w:val="005365C9"/>
    <w:rsid w:val="00536F14"/>
    <w:rsid w:val="0054263A"/>
    <w:rsid w:val="00543AAF"/>
    <w:rsid w:val="0054455E"/>
    <w:rsid w:val="00544883"/>
    <w:rsid w:val="0055039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085F"/>
    <w:rsid w:val="00583186"/>
    <w:rsid w:val="00583D4B"/>
    <w:rsid w:val="00584C38"/>
    <w:rsid w:val="00587DFB"/>
    <w:rsid w:val="0059008E"/>
    <w:rsid w:val="00592106"/>
    <w:rsid w:val="00592912"/>
    <w:rsid w:val="00593806"/>
    <w:rsid w:val="00595A83"/>
    <w:rsid w:val="00596FDB"/>
    <w:rsid w:val="0059722A"/>
    <w:rsid w:val="005975E4"/>
    <w:rsid w:val="005A1DDB"/>
    <w:rsid w:val="005A218B"/>
    <w:rsid w:val="005A2711"/>
    <w:rsid w:val="005A36F1"/>
    <w:rsid w:val="005A701A"/>
    <w:rsid w:val="005B1A91"/>
    <w:rsid w:val="005B4284"/>
    <w:rsid w:val="005B5D3D"/>
    <w:rsid w:val="005B635F"/>
    <w:rsid w:val="005B67F5"/>
    <w:rsid w:val="005C01EF"/>
    <w:rsid w:val="005C1686"/>
    <w:rsid w:val="005C223E"/>
    <w:rsid w:val="005C25EC"/>
    <w:rsid w:val="005C4F36"/>
    <w:rsid w:val="005C7BC1"/>
    <w:rsid w:val="005D1937"/>
    <w:rsid w:val="005D20F1"/>
    <w:rsid w:val="005D33CF"/>
    <w:rsid w:val="005D35B3"/>
    <w:rsid w:val="005D3C81"/>
    <w:rsid w:val="005D6123"/>
    <w:rsid w:val="005D75E9"/>
    <w:rsid w:val="005E117C"/>
    <w:rsid w:val="005E12CA"/>
    <w:rsid w:val="005E1EF3"/>
    <w:rsid w:val="005E29A5"/>
    <w:rsid w:val="005E44E3"/>
    <w:rsid w:val="005E67EA"/>
    <w:rsid w:val="005E69CC"/>
    <w:rsid w:val="005F0197"/>
    <w:rsid w:val="005F2E9A"/>
    <w:rsid w:val="005F49DE"/>
    <w:rsid w:val="005F64FF"/>
    <w:rsid w:val="005F7976"/>
    <w:rsid w:val="00603F7B"/>
    <w:rsid w:val="00605E58"/>
    <w:rsid w:val="00606BAA"/>
    <w:rsid w:val="00607302"/>
    <w:rsid w:val="00610541"/>
    <w:rsid w:val="00612C48"/>
    <w:rsid w:val="006166F0"/>
    <w:rsid w:val="00616BBA"/>
    <w:rsid w:val="00617343"/>
    <w:rsid w:val="00620BE8"/>
    <w:rsid w:val="00620F89"/>
    <w:rsid w:val="00621246"/>
    <w:rsid w:val="00621EE9"/>
    <w:rsid w:val="00623ECE"/>
    <w:rsid w:val="0062462F"/>
    <w:rsid w:val="006246ED"/>
    <w:rsid w:val="00624887"/>
    <w:rsid w:val="0062587D"/>
    <w:rsid w:val="00630416"/>
    <w:rsid w:val="00630A64"/>
    <w:rsid w:val="00631265"/>
    <w:rsid w:val="00635D97"/>
    <w:rsid w:val="00636D1E"/>
    <w:rsid w:val="00637358"/>
    <w:rsid w:val="006377D0"/>
    <w:rsid w:val="006407B5"/>
    <w:rsid w:val="006414B7"/>
    <w:rsid w:val="00645856"/>
    <w:rsid w:val="0064588D"/>
    <w:rsid w:val="00645F4C"/>
    <w:rsid w:val="006471B0"/>
    <w:rsid w:val="00647C4B"/>
    <w:rsid w:val="00654E6E"/>
    <w:rsid w:val="00655B65"/>
    <w:rsid w:val="00655F7C"/>
    <w:rsid w:val="00655FE2"/>
    <w:rsid w:val="00664204"/>
    <w:rsid w:val="00666E4E"/>
    <w:rsid w:val="006713F3"/>
    <w:rsid w:val="00673D75"/>
    <w:rsid w:val="00674BBB"/>
    <w:rsid w:val="00675676"/>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8E8"/>
    <w:rsid w:val="006B5DFA"/>
    <w:rsid w:val="006B7F53"/>
    <w:rsid w:val="006C0CA7"/>
    <w:rsid w:val="006C1D67"/>
    <w:rsid w:val="006C2FAE"/>
    <w:rsid w:val="006C346B"/>
    <w:rsid w:val="006C3C52"/>
    <w:rsid w:val="006C66AD"/>
    <w:rsid w:val="006D0FDF"/>
    <w:rsid w:val="006D4D98"/>
    <w:rsid w:val="006D6280"/>
    <w:rsid w:val="006D6BC5"/>
    <w:rsid w:val="006E1869"/>
    <w:rsid w:val="006E26DD"/>
    <w:rsid w:val="006E31ED"/>
    <w:rsid w:val="006E37A8"/>
    <w:rsid w:val="006E4D6C"/>
    <w:rsid w:val="006F22FD"/>
    <w:rsid w:val="006F36CB"/>
    <w:rsid w:val="006F3968"/>
    <w:rsid w:val="006F5938"/>
    <w:rsid w:val="006F614A"/>
    <w:rsid w:val="006F6786"/>
    <w:rsid w:val="006F7B83"/>
    <w:rsid w:val="00702C58"/>
    <w:rsid w:val="00706AF6"/>
    <w:rsid w:val="00707323"/>
    <w:rsid w:val="00710F30"/>
    <w:rsid w:val="00711B05"/>
    <w:rsid w:val="0071236A"/>
    <w:rsid w:val="00712516"/>
    <w:rsid w:val="007151BC"/>
    <w:rsid w:val="00715548"/>
    <w:rsid w:val="007166F9"/>
    <w:rsid w:val="00717340"/>
    <w:rsid w:val="007177D7"/>
    <w:rsid w:val="007208DC"/>
    <w:rsid w:val="00720AEA"/>
    <w:rsid w:val="00721C3B"/>
    <w:rsid w:val="0072212C"/>
    <w:rsid w:val="007303F7"/>
    <w:rsid w:val="007346E5"/>
    <w:rsid w:val="00735673"/>
    <w:rsid w:val="007358BD"/>
    <w:rsid w:val="007371B6"/>
    <w:rsid w:val="00741B34"/>
    <w:rsid w:val="00743177"/>
    <w:rsid w:val="007458D6"/>
    <w:rsid w:val="00747DDC"/>
    <w:rsid w:val="0075095F"/>
    <w:rsid w:val="00753021"/>
    <w:rsid w:val="00753CF1"/>
    <w:rsid w:val="00753F2B"/>
    <w:rsid w:val="0075633B"/>
    <w:rsid w:val="00760782"/>
    <w:rsid w:val="007626E5"/>
    <w:rsid w:val="00766B89"/>
    <w:rsid w:val="0076746E"/>
    <w:rsid w:val="007675FE"/>
    <w:rsid w:val="00771323"/>
    <w:rsid w:val="007729A6"/>
    <w:rsid w:val="00772E36"/>
    <w:rsid w:val="00773575"/>
    <w:rsid w:val="00773AA3"/>
    <w:rsid w:val="00776F34"/>
    <w:rsid w:val="007773A5"/>
    <w:rsid w:val="007773CA"/>
    <w:rsid w:val="007815A3"/>
    <w:rsid w:val="00782710"/>
    <w:rsid w:val="00783E63"/>
    <w:rsid w:val="00786DA7"/>
    <w:rsid w:val="00787ED2"/>
    <w:rsid w:val="00790B4C"/>
    <w:rsid w:val="00791FCE"/>
    <w:rsid w:val="00792EA2"/>
    <w:rsid w:val="007A19F3"/>
    <w:rsid w:val="007A1CC4"/>
    <w:rsid w:val="007A2DFD"/>
    <w:rsid w:val="007A4749"/>
    <w:rsid w:val="007A5761"/>
    <w:rsid w:val="007A5E04"/>
    <w:rsid w:val="007A5EB6"/>
    <w:rsid w:val="007A6BD3"/>
    <w:rsid w:val="007A7564"/>
    <w:rsid w:val="007A7595"/>
    <w:rsid w:val="007A78FD"/>
    <w:rsid w:val="007B4968"/>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2807"/>
    <w:rsid w:val="007D28D0"/>
    <w:rsid w:val="007D4AAC"/>
    <w:rsid w:val="007D7A33"/>
    <w:rsid w:val="007E0F32"/>
    <w:rsid w:val="007E36DB"/>
    <w:rsid w:val="007E40DA"/>
    <w:rsid w:val="007E52E1"/>
    <w:rsid w:val="007E6677"/>
    <w:rsid w:val="007E6A07"/>
    <w:rsid w:val="007E7D38"/>
    <w:rsid w:val="007F1623"/>
    <w:rsid w:val="007F27F8"/>
    <w:rsid w:val="007F2DC3"/>
    <w:rsid w:val="007F4BB0"/>
    <w:rsid w:val="008003E3"/>
    <w:rsid w:val="008023CF"/>
    <w:rsid w:val="00803B9C"/>
    <w:rsid w:val="00806378"/>
    <w:rsid w:val="00807FC4"/>
    <w:rsid w:val="008132F0"/>
    <w:rsid w:val="00815506"/>
    <w:rsid w:val="00816D90"/>
    <w:rsid w:val="0082014E"/>
    <w:rsid w:val="00821311"/>
    <w:rsid w:val="008233F0"/>
    <w:rsid w:val="00823737"/>
    <w:rsid w:val="00823FE1"/>
    <w:rsid w:val="0082499E"/>
    <w:rsid w:val="00824F30"/>
    <w:rsid w:val="00825069"/>
    <w:rsid w:val="008266A6"/>
    <w:rsid w:val="00833393"/>
    <w:rsid w:val="008351C1"/>
    <w:rsid w:val="00837A66"/>
    <w:rsid w:val="0084445C"/>
    <w:rsid w:val="008454A6"/>
    <w:rsid w:val="00845F42"/>
    <w:rsid w:val="008504A1"/>
    <w:rsid w:val="00850820"/>
    <w:rsid w:val="00852894"/>
    <w:rsid w:val="00852C56"/>
    <w:rsid w:val="0085402E"/>
    <w:rsid w:val="0085438A"/>
    <w:rsid w:val="00854FB3"/>
    <w:rsid w:val="00855942"/>
    <w:rsid w:val="00855A87"/>
    <w:rsid w:val="008565CE"/>
    <w:rsid w:val="00857B0E"/>
    <w:rsid w:val="00864E4A"/>
    <w:rsid w:val="00866459"/>
    <w:rsid w:val="00867B4C"/>
    <w:rsid w:val="00867C8A"/>
    <w:rsid w:val="008715DA"/>
    <w:rsid w:val="00872A92"/>
    <w:rsid w:val="008732C5"/>
    <w:rsid w:val="0087537B"/>
    <w:rsid w:val="008778F7"/>
    <w:rsid w:val="0087798A"/>
    <w:rsid w:val="008809DF"/>
    <w:rsid w:val="00882846"/>
    <w:rsid w:val="00883380"/>
    <w:rsid w:val="008909B3"/>
    <w:rsid w:val="0089260E"/>
    <w:rsid w:val="00892E43"/>
    <w:rsid w:val="00892EF1"/>
    <w:rsid w:val="00893B6A"/>
    <w:rsid w:val="00894FD8"/>
    <w:rsid w:val="00896264"/>
    <w:rsid w:val="008969FF"/>
    <w:rsid w:val="00896EEB"/>
    <w:rsid w:val="008A0A53"/>
    <w:rsid w:val="008A3C16"/>
    <w:rsid w:val="008A5849"/>
    <w:rsid w:val="008A597E"/>
    <w:rsid w:val="008A74E8"/>
    <w:rsid w:val="008B00C1"/>
    <w:rsid w:val="008B3735"/>
    <w:rsid w:val="008B481F"/>
    <w:rsid w:val="008B5A17"/>
    <w:rsid w:val="008B6CB9"/>
    <w:rsid w:val="008C18F6"/>
    <w:rsid w:val="008C4247"/>
    <w:rsid w:val="008C5852"/>
    <w:rsid w:val="008D0C16"/>
    <w:rsid w:val="008D0E94"/>
    <w:rsid w:val="008D318C"/>
    <w:rsid w:val="008D450F"/>
    <w:rsid w:val="008D539A"/>
    <w:rsid w:val="008D57CA"/>
    <w:rsid w:val="008D61F1"/>
    <w:rsid w:val="008D7FE3"/>
    <w:rsid w:val="008E08A3"/>
    <w:rsid w:val="008E575C"/>
    <w:rsid w:val="008E7348"/>
    <w:rsid w:val="008F0808"/>
    <w:rsid w:val="008F2727"/>
    <w:rsid w:val="008F304D"/>
    <w:rsid w:val="008F5767"/>
    <w:rsid w:val="008F57BA"/>
    <w:rsid w:val="008F5E05"/>
    <w:rsid w:val="008F5F02"/>
    <w:rsid w:val="00900B4D"/>
    <w:rsid w:val="00901EFB"/>
    <w:rsid w:val="00905796"/>
    <w:rsid w:val="00905BFC"/>
    <w:rsid w:val="00906CF5"/>
    <w:rsid w:val="009078BD"/>
    <w:rsid w:val="009115AB"/>
    <w:rsid w:val="00912AEB"/>
    <w:rsid w:val="00914C94"/>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0E1C"/>
    <w:rsid w:val="009613D3"/>
    <w:rsid w:val="009655FC"/>
    <w:rsid w:val="009656D2"/>
    <w:rsid w:val="0097040F"/>
    <w:rsid w:val="00971C1A"/>
    <w:rsid w:val="009720D8"/>
    <w:rsid w:val="009722BA"/>
    <w:rsid w:val="0097391E"/>
    <w:rsid w:val="009768C9"/>
    <w:rsid w:val="00976AB9"/>
    <w:rsid w:val="00976F0C"/>
    <w:rsid w:val="009776BF"/>
    <w:rsid w:val="00977E0A"/>
    <w:rsid w:val="00980DB9"/>
    <w:rsid w:val="00981FB1"/>
    <w:rsid w:val="00982A90"/>
    <w:rsid w:val="0098414E"/>
    <w:rsid w:val="00984727"/>
    <w:rsid w:val="00986808"/>
    <w:rsid w:val="00986F47"/>
    <w:rsid w:val="0099522A"/>
    <w:rsid w:val="0099523E"/>
    <w:rsid w:val="009959D8"/>
    <w:rsid w:val="009964F3"/>
    <w:rsid w:val="0099739A"/>
    <w:rsid w:val="009A0EFE"/>
    <w:rsid w:val="009A1744"/>
    <w:rsid w:val="009A1DFF"/>
    <w:rsid w:val="009A2478"/>
    <w:rsid w:val="009A4445"/>
    <w:rsid w:val="009A47BD"/>
    <w:rsid w:val="009A4F36"/>
    <w:rsid w:val="009A6428"/>
    <w:rsid w:val="009A7308"/>
    <w:rsid w:val="009B06B4"/>
    <w:rsid w:val="009B09F4"/>
    <w:rsid w:val="009B4AB8"/>
    <w:rsid w:val="009C3870"/>
    <w:rsid w:val="009C3FA8"/>
    <w:rsid w:val="009C51F3"/>
    <w:rsid w:val="009D1886"/>
    <w:rsid w:val="009D2519"/>
    <w:rsid w:val="009D348B"/>
    <w:rsid w:val="009D5B55"/>
    <w:rsid w:val="009D5F23"/>
    <w:rsid w:val="009E250B"/>
    <w:rsid w:val="009E3882"/>
    <w:rsid w:val="009E5534"/>
    <w:rsid w:val="009E699D"/>
    <w:rsid w:val="009E6BE5"/>
    <w:rsid w:val="009E7222"/>
    <w:rsid w:val="009F00E5"/>
    <w:rsid w:val="009F3D04"/>
    <w:rsid w:val="009F4E11"/>
    <w:rsid w:val="009F549B"/>
    <w:rsid w:val="00A002C9"/>
    <w:rsid w:val="00A01EC7"/>
    <w:rsid w:val="00A05183"/>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2CF0"/>
    <w:rsid w:val="00A440DC"/>
    <w:rsid w:val="00A455B5"/>
    <w:rsid w:val="00A46EF7"/>
    <w:rsid w:val="00A47012"/>
    <w:rsid w:val="00A522A2"/>
    <w:rsid w:val="00A52A70"/>
    <w:rsid w:val="00A55B67"/>
    <w:rsid w:val="00A5679D"/>
    <w:rsid w:val="00A56873"/>
    <w:rsid w:val="00A6121E"/>
    <w:rsid w:val="00A62CE6"/>
    <w:rsid w:val="00A62F0A"/>
    <w:rsid w:val="00A635CC"/>
    <w:rsid w:val="00A66934"/>
    <w:rsid w:val="00A677FA"/>
    <w:rsid w:val="00A7049A"/>
    <w:rsid w:val="00A7141C"/>
    <w:rsid w:val="00A7184D"/>
    <w:rsid w:val="00A76F86"/>
    <w:rsid w:val="00A918CD"/>
    <w:rsid w:val="00A91A49"/>
    <w:rsid w:val="00AA39BD"/>
    <w:rsid w:val="00AA3E26"/>
    <w:rsid w:val="00AA46A3"/>
    <w:rsid w:val="00AA4E02"/>
    <w:rsid w:val="00AA4F98"/>
    <w:rsid w:val="00AA572D"/>
    <w:rsid w:val="00AA6932"/>
    <w:rsid w:val="00AB065D"/>
    <w:rsid w:val="00AB1C9F"/>
    <w:rsid w:val="00AB42D9"/>
    <w:rsid w:val="00AB495C"/>
    <w:rsid w:val="00AB4B47"/>
    <w:rsid w:val="00AB62B1"/>
    <w:rsid w:val="00AB7529"/>
    <w:rsid w:val="00AB76CF"/>
    <w:rsid w:val="00AB7BA4"/>
    <w:rsid w:val="00AC10A4"/>
    <w:rsid w:val="00AC1D4F"/>
    <w:rsid w:val="00AC296E"/>
    <w:rsid w:val="00AC63D1"/>
    <w:rsid w:val="00AC677C"/>
    <w:rsid w:val="00AD4CB0"/>
    <w:rsid w:val="00AD562B"/>
    <w:rsid w:val="00AE02D0"/>
    <w:rsid w:val="00AE1B95"/>
    <w:rsid w:val="00AE1BF6"/>
    <w:rsid w:val="00AE245E"/>
    <w:rsid w:val="00AE4326"/>
    <w:rsid w:val="00AE5DF4"/>
    <w:rsid w:val="00AE6ADA"/>
    <w:rsid w:val="00AE7EA7"/>
    <w:rsid w:val="00AF0F7D"/>
    <w:rsid w:val="00B0107B"/>
    <w:rsid w:val="00B026D7"/>
    <w:rsid w:val="00B05314"/>
    <w:rsid w:val="00B05597"/>
    <w:rsid w:val="00B068A9"/>
    <w:rsid w:val="00B07169"/>
    <w:rsid w:val="00B10F05"/>
    <w:rsid w:val="00B10F46"/>
    <w:rsid w:val="00B11E57"/>
    <w:rsid w:val="00B12BF5"/>
    <w:rsid w:val="00B1307E"/>
    <w:rsid w:val="00B130AC"/>
    <w:rsid w:val="00B133B6"/>
    <w:rsid w:val="00B13548"/>
    <w:rsid w:val="00B15770"/>
    <w:rsid w:val="00B179B8"/>
    <w:rsid w:val="00B17F9C"/>
    <w:rsid w:val="00B2242E"/>
    <w:rsid w:val="00B22739"/>
    <w:rsid w:val="00B2316C"/>
    <w:rsid w:val="00B24DA7"/>
    <w:rsid w:val="00B2662F"/>
    <w:rsid w:val="00B31B90"/>
    <w:rsid w:val="00B31F66"/>
    <w:rsid w:val="00B32A2A"/>
    <w:rsid w:val="00B3393D"/>
    <w:rsid w:val="00B34D9F"/>
    <w:rsid w:val="00B36A67"/>
    <w:rsid w:val="00B3714D"/>
    <w:rsid w:val="00B37A45"/>
    <w:rsid w:val="00B40521"/>
    <w:rsid w:val="00B406F6"/>
    <w:rsid w:val="00B41FD4"/>
    <w:rsid w:val="00B44CA0"/>
    <w:rsid w:val="00B44E4D"/>
    <w:rsid w:val="00B458E5"/>
    <w:rsid w:val="00B47ACC"/>
    <w:rsid w:val="00B51726"/>
    <w:rsid w:val="00B52E20"/>
    <w:rsid w:val="00B60171"/>
    <w:rsid w:val="00B61385"/>
    <w:rsid w:val="00B6298D"/>
    <w:rsid w:val="00B67B11"/>
    <w:rsid w:val="00B712CB"/>
    <w:rsid w:val="00B72EEA"/>
    <w:rsid w:val="00B74A2F"/>
    <w:rsid w:val="00B7627B"/>
    <w:rsid w:val="00B82644"/>
    <w:rsid w:val="00B82A58"/>
    <w:rsid w:val="00B83373"/>
    <w:rsid w:val="00B8361E"/>
    <w:rsid w:val="00B87533"/>
    <w:rsid w:val="00B8772E"/>
    <w:rsid w:val="00B91062"/>
    <w:rsid w:val="00B92819"/>
    <w:rsid w:val="00B94119"/>
    <w:rsid w:val="00B94B33"/>
    <w:rsid w:val="00B95FEE"/>
    <w:rsid w:val="00B96C62"/>
    <w:rsid w:val="00B97256"/>
    <w:rsid w:val="00BA4159"/>
    <w:rsid w:val="00BA4CE0"/>
    <w:rsid w:val="00BA4E15"/>
    <w:rsid w:val="00BA57C0"/>
    <w:rsid w:val="00BA6430"/>
    <w:rsid w:val="00BB00DE"/>
    <w:rsid w:val="00BB103B"/>
    <w:rsid w:val="00BB2125"/>
    <w:rsid w:val="00BB2346"/>
    <w:rsid w:val="00BB31E5"/>
    <w:rsid w:val="00BB710A"/>
    <w:rsid w:val="00BC482C"/>
    <w:rsid w:val="00BC544A"/>
    <w:rsid w:val="00BC60F0"/>
    <w:rsid w:val="00BC6D0D"/>
    <w:rsid w:val="00BC728A"/>
    <w:rsid w:val="00BD05A1"/>
    <w:rsid w:val="00BD2120"/>
    <w:rsid w:val="00BD431A"/>
    <w:rsid w:val="00BD46FD"/>
    <w:rsid w:val="00BD4D84"/>
    <w:rsid w:val="00BD5FF5"/>
    <w:rsid w:val="00BD753B"/>
    <w:rsid w:val="00BD7BBB"/>
    <w:rsid w:val="00BE05CB"/>
    <w:rsid w:val="00BE7406"/>
    <w:rsid w:val="00BE796E"/>
    <w:rsid w:val="00BF01C0"/>
    <w:rsid w:val="00BF0EC1"/>
    <w:rsid w:val="00BF1528"/>
    <w:rsid w:val="00BF49E5"/>
    <w:rsid w:val="00BF52EB"/>
    <w:rsid w:val="00BF5766"/>
    <w:rsid w:val="00BF5A89"/>
    <w:rsid w:val="00C003B8"/>
    <w:rsid w:val="00C007A7"/>
    <w:rsid w:val="00C00CC1"/>
    <w:rsid w:val="00C01C97"/>
    <w:rsid w:val="00C0242D"/>
    <w:rsid w:val="00C03A02"/>
    <w:rsid w:val="00C03A1E"/>
    <w:rsid w:val="00C043B5"/>
    <w:rsid w:val="00C064DF"/>
    <w:rsid w:val="00C10659"/>
    <w:rsid w:val="00C10C8F"/>
    <w:rsid w:val="00C11634"/>
    <w:rsid w:val="00C131A2"/>
    <w:rsid w:val="00C13AAA"/>
    <w:rsid w:val="00C13EE8"/>
    <w:rsid w:val="00C14E11"/>
    <w:rsid w:val="00C2031B"/>
    <w:rsid w:val="00C2068C"/>
    <w:rsid w:val="00C220B0"/>
    <w:rsid w:val="00C2294C"/>
    <w:rsid w:val="00C2521A"/>
    <w:rsid w:val="00C25B92"/>
    <w:rsid w:val="00C2677C"/>
    <w:rsid w:val="00C273A7"/>
    <w:rsid w:val="00C30115"/>
    <w:rsid w:val="00C31F06"/>
    <w:rsid w:val="00C31F55"/>
    <w:rsid w:val="00C31FFF"/>
    <w:rsid w:val="00C3251D"/>
    <w:rsid w:val="00C32D3E"/>
    <w:rsid w:val="00C33509"/>
    <w:rsid w:val="00C340E5"/>
    <w:rsid w:val="00C34B21"/>
    <w:rsid w:val="00C3578F"/>
    <w:rsid w:val="00C35959"/>
    <w:rsid w:val="00C46206"/>
    <w:rsid w:val="00C54EF2"/>
    <w:rsid w:val="00C56966"/>
    <w:rsid w:val="00C57F07"/>
    <w:rsid w:val="00C61275"/>
    <w:rsid w:val="00C62A2F"/>
    <w:rsid w:val="00C6413D"/>
    <w:rsid w:val="00C64278"/>
    <w:rsid w:val="00C65BF5"/>
    <w:rsid w:val="00C676FF"/>
    <w:rsid w:val="00C711CA"/>
    <w:rsid w:val="00C74460"/>
    <w:rsid w:val="00C753E0"/>
    <w:rsid w:val="00C77368"/>
    <w:rsid w:val="00C77940"/>
    <w:rsid w:val="00C8064B"/>
    <w:rsid w:val="00C84A21"/>
    <w:rsid w:val="00C87F13"/>
    <w:rsid w:val="00C87FEB"/>
    <w:rsid w:val="00C91077"/>
    <w:rsid w:val="00C94D69"/>
    <w:rsid w:val="00CA0854"/>
    <w:rsid w:val="00CA3306"/>
    <w:rsid w:val="00CA5C25"/>
    <w:rsid w:val="00CB077B"/>
    <w:rsid w:val="00CB088F"/>
    <w:rsid w:val="00CB0918"/>
    <w:rsid w:val="00CB0B4B"/>
    <w:rsid w:val="00CB0F16"/>
    <w:rsid w:val="00CB0F45"/>
    <w:rsid w:val="00CB175E"/>
    <w:rsid w:val="00CB241A"/>
    <w:rsid w:val="00CB2D09"/>
    <w:rsid w:val="00CB3850"/>
    <w:rsid w:val="00CB4FD5"/>
    <w:rsid w:val="00CB530F"/>
    <w:rsid w:val="00CB6236"/>
    <w:rsid w:val="00CB6C40"/>
    <w:rsid w:val="00CB7892"/>
    <w:rsid w:val="00CB7E36"/>
    <w:rsid w:val="00CC331B"/>
    <w:rsid w:val="00CC39A0"/>
    <w:rsid w:val="00CC3F20"/>
    <w:rsid w:val="00CC6063"/>
    <w:rsid w:val="00CC6A99"/>
    <w:rsid w:val="00CC7434"/>
    <w:rsid w:val="00CD1B42"/>
    <w:rsid w:val="00CD4113"/>
    <w:rsid w:val="00CD4CD7"/>
    <w:rsid w:val="00CD78EB"/>
    <w:rsid w:val="00CD7D5F"/>
    <w:rsid w:val="00CE2996"/>
    <w:rsid w:val="00CE308D"/>
    <w:rsid w:val="00CE510B"/>
    <w:rsid w:val="00CE67D7"/>
    <w:rsid w:val="00CF1DFC"/>
    <w:rsid w:val="00CF3DF8"/>
    <w:rsid w:val="00CF443F"/>
    <w:rsid w:val="00CF6EF5"/>
    <w:rsid w:val="00D03376"/>
    <w:rsid w:val="00D0537F"/>
    <w:rsid w:val="00D0768D"/>
    <w:rsid w:val="00D114EC"/>
    <w:rsid w:val="00D13C7E"/>
    <w:rsid w:val="00D2272A"/>
    <w:rsid w:val="00D25D52"/>
    <w:rsid w:val="00D261B0"/>
    <w:rsid w:val="00D261DB"/>
    <w:rsid w:val="00D268F5"/>
    <w:rsid w:val="00D26BA5"/>
    <w:rsid w:val="00D271E6"/>
    <w:rsid w:val="00D27804"/>
    <w:rsid w:val="00D31F18"/>
    <w:rsid w:val="00D32255"/>
    <w:rsid w:val="00D33A14"/>
    <w:rsid w:val="00D4075D"/>
    <w:rsid w:val="00D40D66"/>
    <w:rsid w:val="00D4362E"/>
    <w:rsid w:val="00D44351"/>
    <w:rsid w:val="00D50E5B"/>
    <w:rsid w:val="00D512E0"/>
    <w:rsid w:val="00D51C82"/>
    <w:rsid w:val="00D5403D"/>
    <w:rsid w:val="00D54B45"/>
    <w:rsid w:val="00D5793B"/>
    <w:rsid w:val="00D602CE"/>
    <w:rsid w:val="00D603CE"/>
    <w:rsid w:val="00D615FE"/>
    <w:rsid w:val="00D64474"/>
    <w:rsid w:val="00D64DCE"/>
    <w:rsid w:val="00D65B25"/>
    <w:rsid w:val="00D662CC"/>
    <w:rsid w:val="00D67D2D"/>
    <w:rsid w:val="00D72C9B"/>
    <w:rsid w:val="00D72ED8"/>
    <w:rsid w:val="00D73980"/>
    <w:rsid w:val="00D74800"/>
    <w:rsid w:val="00D74950"/>
    <w:rsid w:val="00D7651E"/>
    <w:rsid w:val="00D76EF6"/>
    <w:rsid w:val="00D803D1"/>
    <w:rsid w:val="00D81345"/>
    <w:rsid w:val="00D840FF"/>
    <w:rsid w:val="00D84328"/>
    <w:rsid w:val="00D84489"/>
    <w:rsid w:val="00D84C8C"/>
    <w:rsid w:val="00D864CD"/>
    <w:rsid w:val="00D9018C"/>
    <w:rsid w:val="00D901FB"/>
    <w:rsid w:val="00D91BFD"/>
    <w:rsid w:val="00D93D35"/>
    <w:rsid w:val="00D9757E"/>
    <w:rsid w:val="00D97828"/>
    <w:rsid w:val="00D97A89"/>
    <w:rsid w:val="00DA0303"/>
    <w:rsid w:val="00DA0B74"/>
    <w:rsid w:val="00DA1881"/>
    <w:rsid w:val="00DA2E10"/>
    <w:rsid w:val="00DA34D6"/>
    <w:rsid w:val="00DA3647"/>
    <w:rsid w:val="00DA41AA"/>
    <w:rsid w:val="00DA4395"/>
    <w:rsid w:val="00DA506C"/>
    <w:rsid w:val="00DA5D4A"/>
    <w:rsid w:val="00DA5EA2"/>
    <w:rsid w:val="00DA7294"/>
    <w:rsid w:val="00DA7EE5"/>
    <w:rsid w:val="00DB33A7"/>
    <w:rsid w:val="00DB602B"/>
    <w:rsid w:val="00DC0C87"/>
    <w:rsid w:val="00DC20BE"/>
    <w:rsid w:val="00DC37A0"/>
    <w:rsid w:val="00DC3A8B"/>
    <w:rsid w:val="00DC4812"/>
    <w:rsid w:val="00DC6F2B"/>
    <w:rsid w:val="00DC7CEE"/>
    <w:rsid w:val="00DD1669"/>
    <w:rsid w:val="00DD17AC"/>
    <w:rsid w:val="00DD2B3A"/>
    <w:rsid w:val="00DD3D50"/>
    <w:rsid w:val="00DD454B"/>
    <w:rsid w:val="00DD47E9"/>
    <w:rsid w:val="00DD4A2A"/>
    <w:rsid w:val="00DD628C"/>
    <w:rsid w:val="00DD643C"/>
    <w:rsid w:val="00DD7033"/>
    <w:rsid w:val="00DE1561"/>
    <w:rsid w:val="00DE2A83"/>
    <w:rsid w:val="00DE76BC"/>
    <w:rsid w:val="00DF0656"/>
    <w:rsid w:val="00DF3AB5"/>
    <w:rsid w:val="00DF5053"/>
    <w:rsid w:val="00DF55C4"/>
    <w:rsid w:val="00DF5FBC"/>
    <w:rsid w:val="00DF6A3C"/>
    <w:rsid w:val="00E029E7"/>
    <w:rsid w:val="00E02D92"/>
    <w:rsid w:val="00E03240"/>
    <w:rsid w:val="00E05762"/>
    <w:rsid w:val="00E059AC"/>
    <w:rsid w:val="00E05DF5"/>
    <w:rsid w:val="00E1379E"/>
    <w:rsid w:val="00E140F6"/>
    <w:rsid w:val="00E14F64"/>
    <w:rsid w:val="00E16871"/>
    <w:rsid w:val="00E16EE4"/>
    <w:rsid w:val="00E17314"/>
    <w:rsid w:val="00E20051"/>
    <w:rsid w:val="00E209EB"/>
    <w:rsid w:val="00E22B0D"/>
    <w:rsid w:val="00E23776"/>
    <w:rsid w:val="00E24DA7"/>
    <w:rsid w:val="00E31DF3"/>
    <w:rsid w:val="00E34399"/>
    <w:rsid w:val="00E374A4"/>
    <w:rsid w:val="00E3770B"/>
    <w:rsid w:val="00E403FC"/>
    <w:rsid w:val="00E4161B"/>
    <w:rsid w:val="00E41A19"/>
    <w:rsid w:val="00E450DB"/>
    <w:rsid w:val="00E50392"/>
    <w:rsid w:val="00E50CE8"/>
    <w:rsid w:val="00E5131B"/>
    <w:rsid w:val="00E51C64"/>
    <w:rsid w:val="00E525E0"/>
    <w:rsid w:val="00E54928"/>
    <w:rsid w:val="00E5617F"/>
    <w:rsid w:val="00E61E35"/>
    <w:rsid w:val="00E6785A"/>
    <w:rsid w:val="00E67880"/>
    <w:rsid w:val="00E7111A"/>
    <w:rsid w:val="00E71D9A"/>
    <w:rsid w:val="00E73323"/>
    <w:rsid w:val="00E74330"/>
    <w:rsid w:val="00E7491B"/>
    <w:rsid w:val="00E75AEB"/>
    <w:rsid w:val="00E775E1"/>
    <w:rsid w:val="00E77F50"/>
    <w:rsid w:val="00E81647"/>
    <w:rsid w:val="00E82131"/>
    <w:rsid w:val="00E828A9"/>
    <w:rsid w:val="00E82A03"/>
    <w:rsid w:val="00E85410"/>
    <w:rsid w:val="00E85B39"/>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2377"/>
    <w:rsid w:val="00EB3812"/>
    <w:rsid w:val="00EB39E5"/>
    <w:rsid w:val="00EB3F49"/>
    <w:rsid w:val="00EB4D13"/>
    <w:rsid w:val="00EB5224"/>
    <w:rsid w:val="00EB6646"/>
    <w:rsid w:val="00EC07BE"/>
    <w:rsid w:val="00EC7509"/>
    <w:rsid w:val="00EC7E5B"/>
    <w:rsid w:val="00ED15F7"/>
    <w:rsid w:val="00ED46BB"/>
    <w:rsid w:val="00ED5C52"/>
    <w:rsid w:val="00ED72B8"/>
    <w:rsid w:val="00ED78C0"/>
    <w:rsid w:val="00EE0F5D"/>
    <w:rsid w:val="00EE2FD4"/>
    <w:rsid w:val="00EE5AD4"/>
    <w:rsid w:val="00EE694F"/>
    <w:rsid w:val="00EF0CD7"/>
    <w:rsid w:val="00EF221B"/>
    <w:rsid w:val="00EF28FD"/>
    <w:rsid w:val="00EF501A"/>
    <w:rsid w:val="00EF7C8D"/>
    <w:rsid w:val="00EF7DEE"/>
    <w:rsid w:val="00F006C2"/>
    <w:rsid w:val="00F0230A"/>
    <w:rsid w:val="00F02375"/>
    <w:rsid w:val="00F03B13"/>
    <w:rsid w:val="00F059B4"/>
    <w:rsid w:val="00F05BE6"/>
    <w:rsid w:val="00F06485"/>
    <w:rsid w:val="00F132BB"/>
    <w:rsid w:val="00F14579"/>
    <w:rsid w:val="00F15F9B"/>
    <w:rsid w:val="00F17B82"/>
    <w:rsid w:val="00F2045B"/>
    <w:rsid w:val="00F2068D"/>
    <w:rsid w:val="00F20869"/>
    <w:rsid w:val="00F2195C"/>
    <w:rsid w:val="00F23C10"/>
    <w:rsid w:val="00F267B6"/>
    <w:rsid w:val="00F268AC"/>
    <w:rsid w:val="00F34040"/>
    <w:rsid w:val="00F35369"/>
    <w:rsid w:val="00F35C7C"/>
    <w:rsid w:val="00F36132"/>
    <w:rsid w:val="00F36F47"/>
    <w:rsid w:val="00F41427"/>
    <w:rsid w:val="00F41FD5"/>
    <w:rsid w:val="00F42CF5"/>
    <w:rsid w:val="00F43723"/>
    <w:rsid w:val="00F45A22"/>
    <w:rsid w:val="00F45C95"/>
    <w:rsid w:val="00F4781E"/>
    <w:rsid w:val="00F4785D"/>
    <w:rsid w:val="00F47C1F"/>
    <w:rsid w:val="00F5113D"/>
    <w:rsid w:val="00F51365"/>
    <w:rsid w:val="00F527E9"/>
    <w:rsid w:val="00F528D9"/>
    <w:rsid w:val="00F52928"/>
    <w:rsid w:val="00F52C36"/>
    <w:rsid w:val="00F53D4C"/>
    <w:rsid w:val="00F5417F"/>
    <w:rsid w:val="00F5550E"/>
    <w:rsid w:val="00F55589"/>
    <w:rsid w:val="00F55A6C"/>
    <w:rsid w:val="00F5648C"/>
    <w:rsid w:val="00F5676C"/>
    <w:rsid w:val="00F600EF"/>
    <w:rsid w:val="00F60928"/>
    <w:rsid w:val="00F60D04"/>
    <w:rsid w:val="00F61B9F"/>
    <w:rsid w:val="00F67C88"/>
    <w:rsid w:val="00F70069"/>
    <w:rsid w:val="00F701B7"/>
    <w:rsid w:val="00F73D2B"/>
    <w:rsid w:val="00F7656A"/>
    <w:rsid w:val="00F769D8"/>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B1F82"/>
    <w:rsid w:val="00FB71AC"/>
    <w:rsid w:val="00FC054B"/>
    <w:rsid w:val="00FC6693"/>
    <w:rsid w:val="00FC7F1E"/>
    <w:rsid w:val="00FD4BF4"/>
    <w:rsid w:val="00FD5337"/>
    <w:rsid w:val="00FD60B5"/>
    <w:rsid w:val="00FE0166"/>
    <w:rsid w:val="00FE0B35"/>
    <w:rsid w:val="00FE273A"/>
    <w:rsid w:val="00FE2B69"/>
    <w:rsid w:val="00FE7D4F"/>
    <w:rsid w:val="00FF02E6"/>
    <w:rsid w:val="00FF08FB"/>
    <w:rsid w:val="00FF127B"/>
    <w:rsid w:val="00FF303C"/>
    <w:rsid w:val="00FF3434"/>
    <w:rsid w:val="00FF3719"/>
    <w:rsid w:val="00FF3C32"/>
    <w:rsid w:val="3BB3E89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E0A"/>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table" w:styleId="GridTable1Light">
    <w:name w:val="Grid Table 1 Light"/>
    <w:basedOn w:val="TableNormal"/>
    <w:uiPriority w:val="46"/>
    <w:rsid w:val="002F610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2F610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2F610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2F610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F610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3-Accent3">
    <w:name w:val="Grid Table 3 Accent 3"/>
    <w:basedOn w:val="TableNormal"/>
    <w:uiPriority w:val="48"/>
    <w:rsid w:val="002F610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ListTable3">
    <w:name w:val="List Table 3"/>
    <w:basedOn w:val="TableNormal"/>
    <w:uiPriority w:val="48"/>
    <w:rsid w:val="002F610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3">
    <w:name w:val="List Table 3 Accent 3"/>
    <w:basedOn w:val="TableNormal"/>
    <w:uiPriority w:val="48"/>
    <w:rsid w:val="002F610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707323"/>
    <w:rPr>
      <w:rFonts w:eastAsia="Times New Roman"/>
      <w:sz w:val="24"/>
      <w:szCs w:val="24"/>
    </w:rPr>
  </w:style>
  <w:style w:type="character" w:customStyle="1" w:styleId="CaptionChar">
    <w:name w:val="Caption Char"/>
    <w:aliases w:val="cap Char"/>
    <w:link w:val="Caption"/>
    <w:rsid w:val="005B4284"/>
    <w:rPr>
      <w:b/>
      <w:bCs/>
      <w:lang w:eastAsia="en-US"/>
    </w:rPr>
  </w:style>
  <w:style w:type="paragraph" w:customStyle="1" w:styleId="B2">
    <w:name w:val="B2"/>
    <w:basedOn w:val="List2"/>
    <w:uiPriority w:val="99"/>
    <w:rsid w:val="006E37A8"/>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paragraph" w:styleId="List2">
    <w:name w:val="List 2"/>
    <w:basedOn w:val="Normal"/>
    <w:uiPriority w:val="99"/>
    <w:semiHidden/>
    <w:unhideWhenUsed/>
    <w:rsid w:val="006E37A8"/>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6182667">
      <w:bodyDiv w:val="1"/>
      <w:marLeft w:val="0"/>
      <w:marRight w:val="0"/>
      <w:marTop w:val="0"/>
      <w:marBottom w:val="0"/>
      <w:divBdr>
        <w:top w:val="none" w:sz="0" w:space="0" w:color="auto"/>
        <w:left w:val="none" w:sz="0" w:space="0" w:color="auto"/>
        <w:bottom w:val="none" w:sz="0" w:space="0" w:color="auto"/>
        <w:right w:val="none" w:sz="0" w:space="0" w:color="auto"/>
      </w:divBdr>
      <w:divsChild>
        <w:div w:id="1538662925">
          <w:marLeft w:val="547"/>
          <w:marRight w:val="0"/>
          <w:marTop w:val="86"/>
          <w:marBottom w:val="0"/>
          <w:divBdr>
            <w:top w:val="none" w:sz="0" w:space="0" w:color="auto"/>
            <w:left w:val="none" w:sz="0" w:space="0" w:color="auto"/>
            <w:bottom w:val="none" w:sz="0" w:space="0" w:color="auto"/>
            <w:right w:val="none" w:sz="0" w:space="0" w:color="auto"/>
          </w:divBdr>
        </w:div>
        <w:div w:id="1915163287">
          <w:marLeft w:val="547"/>
          <w:marRight w:val="0"/>
          <w:marTop w:val="86"/>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436246722">
      <w:bodyDiv w:val="1"/>
      <w:marLeft w:val="0"/>
      <w:marRight w:val="0"/>
      <w:marTop w:val="0"/>
      <w:marBottom w:val="0"/>
      <w:divBdr>
        <w:top w:val="none" w:sz="0" w:space="0" w:color="auto"/>
        <w:left w:val="none" w:sz="0" w:space="0" w:color="auto"/>
        <w:bottom w:val="none" w:sz="0" w:space="0" w:color="auto"/>
        <w:right w:val="none" w:sz="0" w:space="0" w:color="auto"/>
      </w:divBdr>
      <w:divsChild>
        <w:div w:id="1685087835">
          <w:marLeft w:val="1166"/>
          <w:marRight w:val="0"/>
          <w:marTop w:val="86"/>
          <w:marBottom w:val="0"/>
          <w:divBdr>
            <w:top w:val="none" w:sz="0" w:space="0" w:color="auto"/>
            <w:left w:val="none" w:sz="0" w:space="0" w:color="auto"/>
            <w:bottom w:val="none" w:sz="0" w:space="0" w:color="auto"/>
            <w:right w:val="none" w:sz="0" w:space="0" w:color="auto"/>
          </w:divBdr>
        </w:div>
      </w:divsChild>
    </w:div>
    <w:div w:id="1474641125">
      <w:bodyDiv w:val="1"/>
      <w:marLeft w:val="0"/>
      <w:marRight w:val="0"/>
      <w:marTop w:val="0"/>
      <w:marBottom w:val="0"/>
      <w:divBdr>
        <w:top w:val="none" w:sz="0" w:space="0" w:color="auto"/>
        <w:left w:val="none" w:sz="0" w:space="0" w:color="auto"/>
        <w:bottom w:val="none" w:sz="0" w:space="0" w:color="auto"/>
        <w:right w:val="none" w:sz="0" w:space="0" w:color="auto"/>
      </w:divBdr>
      <w:divsChild>
        <w:div w:id="659887854">
          <w:marLeft w:val="547"/>
          <w:marRight w:val="0"/>
          <w:marTop w:val="86"/>
          <w:marBottom w:val="0"/>
          <w:divBdr>
            <w:top w:val="none" w:sz="0" w:space="0" w:color="auto"/>
            <w:left w:val="none" w:sz="0" w:space="0" w:color="auto"/>
            <w:bottom w:val="none" w:sz="0" w:space="0" w:color="auto"/>
            <w:right w:val="none" w:sz="0" w:space="0" w:color="auto"/>
          </w:divBdr>
        </w:div>
        <w:div w:id="697200873">
          <w:marLeft w:val="547"/>
          <w:marRight w:val="0"/>
          <w:marTop w:val="86"/>
          <w:marBottom w:val="0"/>
          <w:divBdr>
            <w:top w:val="none" w:sz="0" w:space="0" w:color="auto"/>
            <w:left w:val="none" w:sz="0" w:space="0" w:color="auto"/>
            <w:bottom w:val="none" w:sz="0" w:space="0" w:color="auto"/>
            <w:right w:val="none" w:sz="0" w:space="0" w:color="auto"/>
          </w:divBdr>
        </w:div>
        <w:div w:id="608244883">
          <w:marLeft w:val="547"/>
          <w:marRight w:val="0"/>
          <w:marTop w:val="86"/>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5207276">
      <w:bodyDiv w:val="1"/>
      <w:marLeft w:val="0"/>
      <w:marRight w:val="0"/>
      <w:marTop w:val="0"/>
      <w:marBottom w:val="0"/>
      <w:divBdr>
        <w:top w:val="none" w:sz="0" w:space="0" w:color="auto"/>
        <w:left w:val="none" w:sz="0" w:space="0" w:color="auto"/>
        <w:bottom w:val="none" w:sz="0" w:space="0" w:color="auto"/>
        <w:right w:val="none" w:sz="0" w:space="0" w:color="auto"/>
      </w:divBdr>
      <w:divsChild>
        <w:div w:id="90866018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B8D64639-633C-4EEC-B994-BD1D15A8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7</Pages>
  <Words>3526</Words>
  <Characters>20100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18</cp:revision>
  <cp:lastPrinted>2018-01-12T00:47:00Z</cp:lastPrinted>
  <dcterms:created xsi:type="dcterms:W3CDTF">2019-01-09T19:40:00Z</dcterms:created>
  <dcterms:modified xsi:type="dcterms:W3CDTF">2019-01-11T22:37:00Z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